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91739">
        <w:tblPrEx>
          <w:tblCellMar>
            <w:top w:w="0" w:type="dxa"/>
            <w:bottom w:w="0" w:type="dxa"/>
          </w:tblCellMar>
        </w:tblPrEx>
        <w:trPr>
          <w:tblCellSpacing w:w="60" w:type="dxa"/>
        </w:trPr>
        <w:tc>
          <w:tcPr>
            <w:tcW w:w="1200" w:type="pct"/>
            <w:shd w:val="clear" w:color="auto" w:fill="E7F0F9"/>
          </w:tcPr>
          <w:p w:rsidR="00191739" w:rsidRDefault="00A23791">
            <w:pPr>
              <w:spacing w:after="0" w:line="240" w:lineRule="auto"/>
            </w:pPr>
            <w:r>
              <w:rPr>
                <w:b/>
              </w:rPr>
              <w:t>RKP broj</w:t>
            </w:r>
          </w:p>
        </w:tc>
        <w:tc>
          <w:tcPr>
            <w:tcW w:w="0" w:type="auto"/>
            <w:shd w:val="clear" w:color="auto" w:fill="E7F0F9"/>
          </w:tcPr>
          <w:p w:rsidR="00191739" w:rsidRDefault="00A23791">
            <w:pPr>
              <w:spacing w:after="0" w:line="240" w:lineRule="auto"/>
            </w:pPr>
            <w:r>
              <w:t>47885</w:t>
            </w:r>
          </w:p>
        </w:tc>
      </w:tr>
      <w:tr w:rsidR="00191739">
        <w:tblPrEx>
          <w:tblCellMar>
            <w:top w:w="0" w:type="dxa"/>
            <w:bottom w:w="0" w:type="dxa"/>
          </w:tblCellMar>
        </w:tblPrEx>
        <w:trPr>
          <w:tblCellSpacing w:w="60" w:type="dxa"/>
        </w:trPr>
        <w:tc>
          <w:tcPr>
            <w:tcW w:w="1200" w:type="pct"/>
            <w:shd w:val="clear" w:color="auto" w:fill="E7F0F9"/>
          </w:tcPr>
          <w:p w:rsidR="00191739" w:rsidRDefault="00A23791">
            <w:pPr>
              <w:spacing w:after="0" w:line="240" w:lineRule="auto"/>
            </w:pPr>
            <w:r>
              <w:rPr>
                <w:b/>
              </w:rPr>
              <w:t>Naziv obveznika</w:t>
            </w:r>
          </w:p>
        </w:tc>
        <w:tc>
          <w:tcPr>
            <w:tcW w:w="0" w:type="auto"/>
            <w:shd w:val="clear" w:color="auto" w:fill="E7F0F9"/>
          </w:tcPr>
          <w:p w:rsidR="00191739" w:rsidRDefault="00A23791">
            <w:pPr>
              <w:spacing w:after="0" w:line="240" w:lineRule="auto"/>
            </w:pPr>
            <w:r>
              <w:t>SREDNJA ŠKOLA LUDBREG</w:t>
            </w:r>
          </w:p>
        </w:tc>
      </w:tr>
      <w:tr w:rsidR="00191739">
        <w:tblPrEx>
          <w:tblCellMar>
            <w:top w:w="0" w:type="dxa"/>
            <w:bottom w:w="0" w:type="dxa"/>
          </w:tblCellMar>
        </w:tblPrEx>
        <w:trPr>
          <w:tblCellSpacing w:w="60" w:type="dxa"/>
        </w:trPr>
        <w:tc>
          <w:tcPr>
            <w:tcW w:w="1200" w:type="pct"/>
            <w:shd w:val="clear" w:color="auto" w:fill="E7F0F9"/>
          </w:tcPr>
          <w:p w:rsidR="00191739" w:rsidRDefault="00A23791">
            <w:pPr>
              <w:spacing w:after="0" w:line="240" w:lineRule="auto"/>
            </w:pPr>
            <w:r>
              <w:rPr>
                <w:b/>
              </w:rPr>
              <w:t>Razina</w:t>
            </w:r>
          </w:p>
        </w:tc>
        <w:tc>
          <w:tcPr>
            <w:tcW w:w="0" w:type="auto"/>
            <w:shd w:val="clear" w:color="auto" w:fill="E7F0F9"/>
          </w:tcPr>
          <w:p w:rsidR="00191739" w:rsidRDefault="00A23791">
            <w:pPr>
              <w:spacing w:after="0" w:line="240" w:lineRule="auto"/>
            </w:pPr>
            <w:r>
              <w:t>31</w:t>
            </w:r>
          </w:p>
        </w:tc>
      </w:tr>
    </w:tbl>
    <w:p w:rsidR="00191739" w:rsidRDefault="00A23791">
      <w:r>
        <w:br/>
      </w:r>
    </w:p>
    <w:p w:rsidR="00191739" w:rsidRDefault="00A23791">
      <w:pPr>
        <w:spacing w:line="240" w:lineRule="auto"/>
        <w:jc w:val="center"/>
      </w:pPr>
      <w:r>
        <w:rPr>
          <w:b/>
          <w:sz w:val="28"/>
        </w:rPr>
        <w:t>BILJEŠKE UZ FINANCIJSKE IZVJEŠTAJE</w:t>
      </w:r>
    </w:p>
    <w:p w:rsidR="00191739" w:rsidRDefault="00A23791">
      <w:pPr>
        <w:spacing w:line="240" w:lineRule="auto"/>
        <w:jc w:val="center"/>
      </w:pPr>
      <w:r>
        <w:rPr>
          <w:b/>
          <w:sz w:val="28"/>
        </w:rPr>
        <w:t>ZA RAZDOBLJE</w:t>
      </w:r>
    </w:p>
    <w:p w:rsidR="00191739" w:rsidRDefault="00A23791">
      <w:pPr>
        <w:spacing w:line="240" w:lineRule="auto"/>
        <w:jc w:val="center"/>
      </w:pPr>
      <w:r>
        <w:rPr>
          <w:b/>
          <w:sz w:val="28"/>
        </w:rPr>
        <w:t>I - XII 2025.</w:t>
      </w:r>
    </w:p>
    <w:p w:rsidR="00191739" w:rsidRDefault="00191739"/>
    <w:p w:rsidR="00191739" w:rsidRDefault="00A23791">
      <w:pPr>
        <w:keepNext/>
        <w:spacing w:line="240" w:lineRule="auto"/>
        <w:jc w:val="center"/>
      </w:pPr>
      <w:r>
        <w:rPr>
          <w:b/>
          <w:sz w:val="28"/>
        </w:rPr>
        <w:t>Izvještaj o prihodima i rashodima, primicima i izdacima</w:t>
      </w:r>
    </w:p>
    <w:p w:rsidR="00191739" w:rsidRDefault="00A2379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6</w:t>
            </w:r>
          </w:p>
        </w:tc>
        <w:tc>
          <w:tcPr>
            <w:tcW w:w="3180" w:type="dxa"/>
            <w:tcMar>
              <w:top w:w="0" w:type="dxa"/>
              <w:bottom w:w="0" w:type="dxa"/>
            </w:tcMar>
            <w:vAlign w:val="center"/>
          </w:tcPr>
          <w:p w:rsidR="00191739" w:rsidRDefault="00A23791">
            <w:pPr>
              <w:keepNext/>
              <w:keepLines/>
              <w:spacing w:after="0" w:line="240" w:lineRule="auto"/>
            </w:pPr>
            <w:r>
              <w:rPr>
                <w:sz w:val="18"/>
              </w:rPr>
              <w:t>PRIHODI POSLOVANJA (šifre 61+62+63+64+65+66+67+68)</w:t>
            </w:r>
          </w:p>
        </w:tc>
        <w:tc>
          <w:tcPr>
            <w:tcW w:w="700" w:type="dxa"/>
            <w:tcMar>
              <w:top w:w="0" w:type="dxa"/>
              <w:bottom w:w="0" w:type="dxa"/>
            </w:tcMar>
            <w:vAlign w:val="center"/>
          </w:tcPr>
          <w:p w:rsidR="00191739" w:rsidRDefault="00A23791">
            <w:pPr>
              <w:keepNext/>
              <w:keepLines/>
              <w:spacing w:after="0" w:line="240" w:lineRule="auto"/>
            </w:pPr>
            <w:r>
              <w:rPr>
                <w:sz w:val="18"/>
              </w:rPr>
              <w:t>6</w:t>
            </w:r>
          </w:p>
        </w:tc>
        <w:tc>
          <w:tcPr>
            <w:tcW w:w="1860" w:type="dxa"/>
            <w:tcMar>
              <w:top w:w="0" w:type="dxa"/>
              <w:bottom w:w="0" w:type="dxa"/>
            </w:tcMar>
            <w:vAlign w:val="center"/>
          </w:tcPr>
          <w:p w:rsidR="00191739" w:rsidRDefault="00A23791">
            <w:pPr>
              <w:keepNext/>
              <w:keepLines/>
              <w:spacing w:after="0" w:line="240" w:lineRule="auto"/>
              <w:jc w:val="right"/>
            </w:pPr>
            <w:r>
              <w:rPr>
                <w:sz w:val="18"/>
              </w:rPr>
              <w:t>2.221.152,91</w:t>
            </w:r>
          </w:p>
        </w:tc>
        <w:tc>
          <w:tcPr>
            <w:tcW w:w="1860" w:type="dxa"/>
            <w:tcMar>
              <w:top w:w="0" w:type="dxa"/>
              <w:bottom w:w="0" w:type="dxa"/>
            </w:tcMar>
            <w:vAlign w:val="center"/>
          </w:tcPr>
          <w:p w:rsidR="00191739" w:rsidRDefault="00A23791">
            <w:pPr>
              <w:keepNext/>
              <w:keepLines/>
              <w:spacing w:after="0" w:line="240" w:lineRule="auto"/>
              <w:jc w:val="right"/>
            </w:pPr>
            <w:r>
              <w:rPr>
                <w:sz w:val="18"/>
              </w:rPr>
              <w:t>2.491.370,54</w:t>
            </w:r>
          </w:p>
        </w:tc>
        <w:tc>
          <w:tcPr>
            <w:tcW w:w="700" w:type="dxa"/>
            <w:tcMar>
              <w:top w:w="0" w:type="dxa"/>
              <w:bottom w:w="0" w:type="dxa"/>
            </w:tcMar>
            <w:vAlign w:val="center"/>
          </w:tcPr>
          <w:p w:rsidR="00191739" w:rsidRDefault="00A23791">
            <w:pPr>
              <w:keepNext/>
              <w:keepLines/>
              <w:spacing w:after="0" w:line="240" w:lineRule="auto"/>
              <w:jc w:val="right"/>
            </w:pPr>
            <w:r>
              <w:rPr>
                <w:sz w:val="18"/>
              </w:rPr>
              <w:t>112,2</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3</w:t>
            </w:r>
          </w:p>
        </w:tc>
        <w:tc>
          <w:tcPr>
            <w:tcW w:w="3180" w:type="dxa"/>
            <w:tcMar>
              <w:top w:w="0" w:type="dxa"/>
              <w:bottom w:w="0" w:type="dxa"/>
            </w:tcMar>
            <w:vAlign w:val="center"/>
          </w:tcPr>
          <w:p w:rsidR="00191739" w:rsidRDefault="00A23791">
            <w:pPr>
              <w:keepNext/>
              <w:keepLines/>
              <w:spacing w:after="0" w:line="240" w:lineRule="auto"/>
            </w:pPr>
            <w:r>
              <w:rPr>
                <w:sz w:val="18"/>
              </w:rPr>
              <w:t>RASHODI POSLOVANJA (šifre 31+32+34+35+36+37+38)</w:t>
            </w:r>
          </w:p>
        </w:tc>
        <w:tc>
          <w:tcPr>
            <w:tcW w:w="700" w:type="dxa"/>
            <w:tcMar>
              <w:top w:w="0" w:type="dxa"/>
              <w:bottom w:w="0" w:type="dxa"/>
            </w:tcMar>
            <w:vAlign w:val="center"/>
          </w:tcPr>
          <w:p w:rsidR="00191739" w:rsidRDefault="00A23791">
            <w:pPr>
              <w:keepNext/>
              <w:keepLines/>
              <w:spacing w:after="0" w:line="240" w:lineRule="auto"/>
            </w:pPr>
            <w:r>
              <w:rPr>
                <w:sz w:val="18"/>
              </w:rPr>
              <w:t>3</w:t>
            </w:r>
          </w:p>
        </w:tc>
        <w:tc>
          <w:tcPr>
            <w:tcW w:w="1860" w:type="dxa"/>
            <w:tcMar>
              <w:top w:w="0" w:type="dxa"/>
              <w:bottom w:w="0" w:type="dxa"/>
            </w:tcMar>
            <w:vAlign w:val="center"/>
          </w:tcPr>
          <w:p w:rsidR="00191739" w:rsidRDefault="00A23791">
            <w:pPr>
              <w:keepNext/>
              <w:keepLines/>
              <w:spacing w:after="0" w:line="240" w:lineRule="auto"/>
              <w:jc w:val="right"/>
            </w:pPr>
            <w:r>
              <w:rPr>
                <w:sz w:val="18"/>
              </w:rPr>
              <w:t>1.850.317,57</w:t>
            </w:r>
          </w:p>
        </w:tc>
        <w:tc>
          <w:tcPr>
            <w:tcW w:w="1860" w:type="dxa"/>
            <w:tcMar>
              <w:top w:w="0" w:type="dxa"/>
              <w:bottom w:w="0" w:type="dxa"/>
            </w:tcMar>
            <w:vAlign w:val="center"/>
          </w:tcPr>
          <w:p w:rsidR="00191739" w:rsidRDefault="00A23791">
            <w:pPr>
              <w:keepNext/>
              <w:keepLines/>
              <w:spacing w:after="0" w:line="240" w:lineRule="auto"/>
              <w:jc w:val="right"/>
            </w:pPr>
            <w:r>
              <w:rPr>
                <w:sz w:val="18"/>
              </w:rPr>
              <w:t>2.489.286,74</w:t>
            </w:r>
          </w:p>
        </w:tc>
        <w:tc>
          <w:tcPr>
            <w:tcW w:w="700" w:type="dxa"/>
            <w:tcMar>
              <w:top w:w="0" w:type="dxa"/>
              <w:bottom w:w="0" w:type="dxa"/>
            </w:tcMar>
            <w:vAlign w:val="center"/>
          </w:tcPr>
          <w:p w:rsidR="00191739" w:rsidRDefault="00A23791">
            <w:pPr>
              <w:keepNext/>
              <w:keepLines/>
              <w:spacing w:after="0" w:line="240" w:lineRule="auto"/>
              <w:jc w:val="right"/>
            </w:pPr>
            <w:r>
              <w:rPr>
                <w:sz w:val="18"/>
              </w:rPr>
              <w:t>134,5</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191739">
            <w:pPr>
              <w:keepNext/>
              <w:keepLines/>
              <w:spacing w:after="0" w:line="240" w:lineRule="auto"/>
            </w:pPr>
          </w:p>
        </w:tc>
        <w:tc>
          <w:tcPr>
            <w:tcW w:w="3180" w:type="dxa"/>
            <w:tcMar>
              <w:top w:w="0" w:type="dxa"/>
              <w:bottom w:w="0" w:type="dxa"/>
            </w:tcMar>
            <w:vAlign w:val="center"/>
          </w:tcPr>
          <w:p w:rsidR="00191739" w:rsidRDefault="00A23791">
            <w:pPr>
              <w:keepNext/>
              <w:keepLines/>
              <w:spacing w:after="0" w:line="240" w:lineRule="auto"/>
            </w:pPr>
            <w:r>
              <w:rPr>
                <w:b/>
                <w:sz w:val="18"/>
              </w:rPr>
              <w:t>VIŠAK PRIHODA POSLOVANJA (šifre 6-Z005)</w:t>
            </w:r>
          </w:p>
        </w:tc>
        <w:tc>
          <w:tcPr>
            <w:tcW w:w="700" w:type="dxa"/>
            <w:tcMar>
              <w:top w:w="0" w:type="dxa"/>
              <w:bottom w:w="0" w:type="dxa"/>
            </w:tcMar>
            <w:vAlign w:val="center"/>
          </w:tcPr>
          <w:p w:rsidR="00191739" w:rsidRDefault="00A23791">
            <w:pPr>
              <w:keepNext/>
              <w:keepLines/>
              <w:spacing w:after="0" w:line="240" w:lineRule="auto"/>
            </w:pPr>
            <w:r>
              <w:rPr>
                <w:b/>
                <w:sz w:val="18"/>
              </w:rPr>
              <w:t>X001</w:t>
            </w:r>
          </w:p>
        </w:tc>
        <w:tc>
          <w:tcPr>
            <w:tcW w:w="1860" w:type="dxa"/>
            <w:tcMar>
              <w:top w:w="0" w:type="dxa"/>
              <w:bottom w:w="0" w:type="dxa"/>
            </w:tcMar>
            <w:vAlign w:val="center"/>
          </w:tcPr>
          <w:p w:rsidR="00191739" w:rsidRDefault="00A23791">
            <w:pPr>
              <w:keepNext/>
              <w:keepLines/>
              <w:spacing w:after="0" w:line="240" w:lineRule="auto"/>
              <w:jc w:val="right"/>
            </w:pPr>
            <w:r>
              <w:rPr>
                <w:b/>
                <w:sz w:val="18"/>
              </w:rPr>
              <w:t>370.835,34</w:t>
            </w:r>
          </w:p>
        </w:tc>
        <w:tc>
          <w:tcPr>
            <w:tcW w:w="1860" w:type="dxa"/>
            <w:tcMar>
              <w:top w:w="0" w:type="dxa"/>
              <w:bottom w:w="0" w:type="dxa"/>
            </w:tcMar>
            <w:vAlign w:val="center"/>
          </w:tcPr>
          <w:p w:rsidR="00191739" w:rsidRDefault="00A23791">
            <w:pPr>
              <w:keepNext/>
              <w:keepLines/>
              <w:spacing w:after="0" w:line="240" w:lineRule="auto"/>
              <w:jc w:val="right"/>
            </w:pPr>
            <w:r>
              <w:rPr>
                <w:b/>
                <w:sz w:val="18"/>
              </w:rPr>
              <w:t>2.083,80</w:t>
            </w:r>
          </w:p>
        </w:tc>
        <w:tc>
          <w:tcPr>
            <w:tcW w:w="700" w:type="dxa"/>
            <w:tcMar>
              <w:top w:w="0" w:type="dxa"/>
              <w:bottom w:w="0" w:type="dxa"/>
            </w:tcMar>
            <w:vAlign w:val="center"/>
          </w:tcPr>
          <w:p w:rsidR="00191739" w:rsidRDefault="00A23791">
            <w:pPr>
              <w:keepNext/>
              <w:keepLines/>
              <w:spacing w:after="0" w:line="240" w:lineRule="auto"/>
              <w:jc w:val="right"/>
            </w:pPr>
            <w:r>
              <w:rPr>
                <w:b/>
                <w:sz w:val="18"/>
              </w:rPr>
              <w:t>0,6</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7</w:t>
            </w:r>
          </w:p>
        </w:tc>
        <w:tc>
          <w:tcPr>
            <w:tcW w:w="3180" w:type="dxa"/>
            <w:tcMar>
              <w:top w:w="0" w:type="dxa"/>
              <w:bottom w:w="0" w:type="dxa"/>
            </w:tcMar>
            <w:vAlign w:val="center"/>
          </w:tcPr>
          <w:p w:rsidR="00191739" w:rsidRDefault="00A2379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191739" w:rsidRDefault="00A23791">
            <w:pPr>
              <w:keepNext/>
              <w:keepLines/>
              <w:spacing w:after="0" w:line="240" w:lineRule="auto"/>
            </w:pPr>
            <w:r>
              <w:rPr>
                <w:sz w:val="18"/>
              </w:rPr>
              <w:t>7</w:t>
            </w:r>
          </w:p>
        </w:tc>
        <w:tc>
          <w:tcPr>
            <w:tcW w:w="1860" w:type="dxa"/>
            <w:tcMar>
              <w:top w:w="0" w:type="dxa"/>
              <w:bottom w:w="0" w:type="dxa"/>
            </w:tcMar>
            <w:vAlign w:val="center"/>
          </w:tcPr>
          <w:p w:rsidR="00191739" w:rsidRDefault="00A23791">
            <w:pPr>
              <w:keepNext/>
              <w:keepLines/>
              <w:spacing w:after="0" w:line="240" w:lineRule="auto"/>
              <w:jc w:val="right"/>
            </w:pPr>
            <w:r>
              <w:rPr>
                <w:sz w:val="18"/>
              </w:rPr>
              <w:t>750,00</w:t>
            </w:r>
          </w:p>
        </w:tc>
        <w:tc>
          <w:tcPr>
            <w:tcW w:w="1860" w:type="dxa"/>
            <w:tcMar>
              <w:top w:w="0" w:type="dxa"/>
              <w:bottom w:w="0" w:type="dxa"/>
            </w:tcMar>
            <w:vAlign w:val="center"/>
          </w:tcPr>
          <w:p w:rsidR="00191739" w:rsidRDefault="00A23791">
            <w:pPr>
              <w:keepNext/>
              <w:keepLines/>
              <w:spacing w:after="0" w:line="240" w:lineRule="auto"/>
              <w:jc w:val="right"/>
            </w:pPr>
            <w:r>
              <w:rPr>
                <w:sz w:val="18"/>
              </w:rPr>
              <w:t>0,00</w:t>
            </w:r>
          </w:p>
        </w:tc>
        <w:tc>
          <w:tcPr>
            <w:tcW w:w="700" w:type="dxa"/>
            <w:tcMar>
              <w:top w:w="0" w:type="dxa"/>
              <w:bottom w:w="0" w:type="dxa"/>
            </w:tcMar>
            <w:vAlign w:val="center"/>
          </w:tcPr>
          <w:p w:rsidR="00191739" w:rsidRDefault="00A23791">
            <w:pPr>
              <w:keepNext/>
              <w:keepLines/>
              <w:spacing w:after="0" w:line="240" w:lineRule="auto"/>
              <w:jc w:val="right"/>
            </w:pPr>
            <w:r>
              <w:rPr>
                <w:sz w:val="18"/>
              </w:rPr>
              <w:t>0</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4</w:t>
            </w:r>
          </w:p>
        </w:tc>
        <w:tc>
          <w:tcPr>
            <w:tcW w:w="3180" w:type="dxa"/>
            <w:tcMar>
              <w:top w:w="0" w:type="dxa"/>
              <w:bottom w:w="0" w:type="dxa"/>
            </w:tcMar>
            <w:vAlign w:val="center"/>
          </w:tcPr>
          <w:p w:rsidR="00191739" w:rsidRDefault="00A2379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191739" w:rsidRDefault="00A23791">
            <w:pPr>
              <w:keepNext/>
              <w:keepLines/>
              <w:spacing w:after="0" w:line="240" w:lineRule="auto"/>
            </w:pPr>
            <w:r>
              <w:rPr>
                <w:sz w:val="18"/>
              </w:rPr>
              <w:t>4</w:t>
            </w:r>
          </w:p>
        </w:tc>
        <w:tc>
          <w:tcPr>
            <w:tcW w:w="1860" w:type="dxa"/>
            <w:tcMar>
              <w:top w:w="0" w:type="dxa"/>
              <w:bottom w:w="0" w:type="dxa"/>
            </w:tcMar>
            <w:vAlign w:val="center"/>
          </w:tcPr>
          <w:p w:rsidR="00191739" w:rsidRDefault="00A23791">
            <w:pPr>
              <w:keepNext/>
              <w:keepLines/>
              <w:spacing w:after="0" w:line="240" w:lineRule="auto"/>
              <w:jc w:val="right"/>
            </w:pPr>
            <w:r>
              <w:rPr>
                <w:sz w:val="18"/>
              </w:rPr>
              <w:t>275.387,47</w:t>
            </w:r>
          </w:p>
        </w:tc>
        <w:tc>
          <w:tcPr>
            <w:tcW w:w="1860" w:type="dxa"/>
            <w:tcMar>
              <w:top w:w="0" w:type="dxa"/>
              <w:bottom w:w="0" w:type="dxa"/>
            </w:tcMar>
            <w:vAlign w:val="center"/>
          </w:tcPr>
          <w:p w:rsidR="00191739" w:rsidRDefault="00A23791">
            <w:pPr>
              <w:keepNext/>
              <w:keepLines/>
              <w:spacing w:after="0" w:line="240" w:lineRule="auto"/>
              <w:jc w:val="right"/>
            </w:pPr>
            <w:r>
              <w:rPr>
                <w:sz w:val="18"/>
              </w:rPr>
              <w:t>70.478,94</w:t>
            </w:r>
          </w:p>
        </w:tc>
        <w:tc>
          <w:tcPr>
            <w:tcW w:w="700" w:type="dxa"/>
            <w:tcMar>
              <w:top w:w="0" w:type="dxa"/>
              <w:bottom w:w="0" w:type="dxa"/>
            </w:tcMar>
            <w:vAlign w:val="center"/>
          </w:tcPr>
          <w:p w:rsidR="00191739" w:rsidRDefault="00A23791">
            <w:pPr>
              <w:keepNext/>
              <w:keepLines/>
              <w:spacing w:after="0" w:line="240" w:lineRule="auto"/>
              <w:jc w:val="right"/>
            </w:pPr>
            <w:r>
              <w:rPr>
                <w:sz w:val="18"/>
              </w:rPr>
              <w:t>25,6</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191739">
            <w:pPr>
              <w:keepNext/>
              <w:keepLines/>
              <w:spacing w:after="0" w:line="240" w:lineRule="auto"/>
            </w:pPr>
          </w:p>
        </w:tc>
        <w:tc>
          <w:tcPr>
            <w:tcW w:w="3180" w:type="dxa"/>
            <w:tcMar>
              <w:top w:w="0" w:type="dxa"/>
              <w:bottom w:w="0" w:type="dxa"/>
            </w:tcMar>
            <w:vAlign w:val="center"/>
          </w:tcPr>
          <w:p w:rsidR="00191739" w:rsidRDefault="00A2379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191739" w:rsidRDefault="00A23791">
            <w:pPr>
              <w:keepNext/>
              <w:keepLines/>
              <w:spacing w:after="0" w:line="240" w:lineRule="auto"/>
            </w:pPr>
            <w:r>
              <w:rPr>
                <w:b/>
                <w:sz w:val="18"/>
              </w:rPr>
              <w:t>Y002</w:t>
            </w:r>
          </w:p>
        </w:tc>
        <w:tc>
          <w:tcPr>
            <w:tcW w:w="1860" w:type="dxa"/>
            <w:tcMar>
              <w:top w:w="0" w:type="dxa"/>
              <w:bottom w:w="0" w:type="dxa"/>
            </w:tcMar>
            <w:vAlign w:val="center"/>
          </w:tcPr>
          <w:p w:rsidR="00191739" w:rsidRDefault="00A23791">
            <w:pPr>
              <w:keepNext/>
              <w:keepLines/>
              <w:spacing w:after="0" w:line="240" w:lineRule="auto"/>
              <w:jc w:val="right"/>
            </w:pPr>
            <w:r>
              <w:rPr>
                <w:b/>
                <w:sz w:val="18"/>
              </w:rPr>
              <w:t>274.637,47</w:t>
            </w:r>
          </w:p>
        </w:tc>
        <w:tc>
          <w:tcPr>
            <w:tcW w:w="1860" w:type="dxa"/>
            <w:tcMar>
              <w:top w:w="0" w:type="dxa"/>
              <w:bottom w:w="0" w:type="dxa"/>
            </w:tcMar>
            <w:vAlign w:val="center"/>
          </w:tcPr>
          <w:p w:rsidR="00191739" w:rsidRDefault="00A23791">
            <w:pPr>
              <w:keepNext/>
              <w:keepLines/>
              <w:spacing w:after="0" w:line="240" w:lineRule="auto"/>
              <w:jc w:val="right"/>
            </w:pPr>
            <w:r>
              <w:rPr>
                <w:b/>
                <w:sz w:val="18"/>
              </w:rPr>
              <w:t>70.478,94</w:t>
            </w:r>
          </w:p>
        </w:tc>
        <w:tc>
          <w:tcPr>
            <w:tcW w:w="700" w:type="dxa"/>
            <w:tcMar>
              <w:top w:w="0" w:type="dxa"/>
              <w:bottom w:w="0" w:type="dxa"/>
            </w:tcMar>
            <w:vAlign w:val="center"/>
          </w:tcPr>
          <w:p w:rsidR="00191739" w:rsidRDefault="00A23791">
            <w:pPr>
              <w:keepNext/>
              <w:keepLines/>
              <w:spacing w:after="0" w:line="240" w:lineRule="auto"/>
              <w:jc w:val="right"/>
            </w:pPr>
            <w:r>
              <w:rPr>
                <w:b/>
                <w:sz w:val="18"/>
              </w:rPr>
              <w:t>25,7</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8</w:t>
            </w:r>
          </w:p>
        </w:tc>
        <w:tc>
          <w:tcPr>
            <w:tcW w:w="3180" w:type="dxa"/>
            <w:tcMar>
              <w:top w:w="0" w:type="dxa"/>
              <w:bottom w:w="0" w:type="dxa"/>
            </w:tcMar>
            <w:vAlign w:val="center"/>
          </w:tcPr>
          <w:p w:rsidR="00191739" w:rsidRDefault="00A2379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191739" w:rsidRDefault="00A23791">
            <w:pPr>
              <w:keepNext/>
              <w:keepLines/>
              <w:spacing w:after="0" w:line="240" w:lineRule="auto"/>
            </w:pPr>
            <w:r>
              <w:rPr>
                <w:sz w:val="18"/>
              </w:rPr>
              <w:t>8</w:t>
            </w:r>
          </w:p>
        </w:tc>
        <w:tc>
          <w:tcPr>
            <w:tcW w:w="1860" w:type="dxa"/>
            <w:tcMar>
              <w:top w:w="0" w:type="dxa"/>
              <w:bottom w:w="0" w:type="dxa"/>
            </w:tcMar>
            <w:vAlign w:val="center"/>
          </w:tcPr>
          <w:p w:rsidR="00191739" w:rsidRDefault="00A23791">
            <w:pPr>
              <w:keepNext/>
              <w:keepLines/>
              <w:spacing w:after="0" w:line="240" w:lineRule="auto"/>
              <w:jc w:val="right"/>
            </w:pPr>
            <w:r>
              <w:rPr>
                <w:sz w:val="18"/>
              </w:rPr>
              <w:t>0,00</w:t>
            </w:r>
          </w:p>
        </w:tc>
        <w:tc>
          <w:tcPr>
            <w:tcW w:w="1860" w:type="dxa"/>
            <w:tcMar>
              <w:top w:w="0" w:type="dxa"/>
              <w:bottom w:w="0" w:type="dxa"/>
            </w:tcMar>
            <w:vAlign w:val="center"/>
          </w:tcPr>
          <w:p w:rsidR="00191739" w:rsidRDefault="00A23791">
            <w:pPr>
              <w:keepNext/>
              <w:keepLines/>
              <w:spacing w:after="0" w:line="240" w:lineRule="auto"/>
              <w:jc w:val="right"/>
            </w:pPr>
            <w:r>
              <w:rPr>
                <w:sz w:val="18"/>
              </w:rPr>
              <w:t>0,00</w:t>
            </w:r>
          </w:p>
        </w:tc>
        <w:tc>
          <w:tcPr>
            <w:tcW w:w="700" w:type="dxa"/>
            <w:tcMar>
              <w:top w:w="0" w:type="dxa"/>
              <w:bottom w:w="0" w:type="dxa"/>
            </w:tcMar>
            <w:vAlign w:val="center"/>
          </w:tcPr>
          <w:p w:rsidR="00191739" w:rsidRDefault="00A23791">
            <w:pPr>
              <w:keepNext/>
              <w:keepLines/>
              <w:spacing w:after="0" w:line="240" w:lineRule="auto"/>
              <w:jc w:val="right"/>
            </w:pPr>
            <w:r>
              <w:rPr>
                <w:sz w:val="18"/>
              </w:rPr>
              <w:t>-</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5</w:t>
            </w:r>
          </w:p>
        </w:tc>
        <w:tc>
          <w:tcPr>
            <w:tcW w:w="3180" w:type="dxa"/>
            <w:tcMar>
              <w:top w:w="0" w:type="dxa"/>
              <w:bottom w:w="0" w:type="dxa"/>
            </w:tcMar>
            <w:vAlign w:val="center"/>
          </w:tcPr>
          <w:p w:rsidR="00191739" w:rsidRDefault="00A23791">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191739" w:rsidRDefault="00A23791">
            <w:pPr>
              <w:keepNext/>
              <w:keepLines/>
              <w:spacing w:after="0" w:line="240" w:lineRule="auto"/>
            </w:pPr>
            <w:r>
              <w:rPr>
                <w:sz w:val="18"/>
              </w:rPr>
              <w:t>5</w:t>
            </w:r>
          </w:p>
        </w:tc>
        <w:tc>
          <w:tcPr>
            <w:tcW w:w="1860" w:type="dxa"/>
            <w:tcMar>
              <w:top w:w="0" w:type="dxa"/>
              <w:bottom w:w="0" w:type="dxa"/>
            </w:tcMar>
            <w:vAlign w:val="center"/>
          </w:tcPr>
          <w:p w:rsidR="00191739" w:rsidRDefault="00A23791">
            <w:pPr>
              <w:keepNext/>
              <w:keepLines/>
              <w:spacing w:after="0" w:line="240" w:lineRule="auto"/>
              <w:jc w:val="right"/>
            </w:pPr>
            <w:r>
              <w:rPr>
                <w:sz w:val="18"/>
              </w:rPr>
              <w:t>40.231,60</w:t>
            </w:r>
          </w:p>
        </w:tc>
        <w:tc>
          <w:tcPr>
            <w:tcW w:w="1860" w:type="dxa"/>
            <w:tcMar>
              <w:top w:w="0" w:type="dxa"/>
              <w:bottom w:w="0" w:type="dxa"/>
            </w:tcMar>
            <w:vAlign w:val="center"/>
          </w:tcPr>
          <w:p w:rsidR="00191739" w:rsidRDefault="00A23791">
            <w:pPr>
              <w:keepNext/>
              <w:keepLines/>
              <w:spacing w:after="0" w:line="240" w:lineRule="auto"/>
              <w:jc w:val="right"/>
            </w:pPr>
            <w:r>
              <w:rPr>
                <w:sz w:val="18"/>
              </w:rPr>
              <w:t>30.173,70</w:t>
            </w:r>
          </w:p>
        </w:tc>
        <w:tc>
          <w:tcPr>
            <w:tcW w:w="700" w:type="dxa"/>
            <w:tcMar>
              <w:top w:w="0" w:type="dxa"/>
              <w:bottom w:w="0" w:type="dxa"/>
            </w:tcMar>
            <w:vAlign w:val="center"/>
          </w:tcPr>
          <w:p w:rsidR="00191739" w:rsidRDefault="00A23791">
            <w:pPr>
              <w:keepNext/>
              <w:keepLines/>
              <w:spacing w:after="0" w:line="240" w:lineRule="auto"/>
              <w:jc w:val="right"/>
            </w:pPr>
            <w:r>
              <w:rPr>
                <w:sz w:val="18"/>
              </w:rPr>
              <w:t>75,0</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191739">
            <w:pPr>
              <w:keepNext/>
              <w:keepLines/>
              <w:spacing w:after="0" w:line="240" w:lineRule="auto"/>
            </w:pPr>
          </w:p>
        </w:tc>
        <w:tc>
          <w:tcPr>
            <w:tcW w:w="3180" w:type="dxa"/>
            <w:tcMar>
              <w:top w:w="0" w:type="dxa"/>
              <w:bottom w:w="0" w:type="dxa"/>
            </w:tcMar>
            <w:vAlign w:val="center"/>
          </w:tcPr>
          <w:p w:rsidR="00191739" w:rsidRDefault="00A23791">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191739" w:rsidRDefault="00A23791">
            <w:pPr>
              <w:keepNext/>
              <w:keepLines/>
              <w:spacing w:after="0" w:line="240" w:lineRule="auto"/>
            </w:pPr>
            <w:r>
              <w:rPr>
                <w:b/>
                <w:sz w:val="18"/>
              </w:rPr>
              <w:t>Y003</w:t>
            </w:r>
          </w:p>
        </w:tc>
        <w:tc>
          <w:tcPr>
            <w:tcW w:w="1860" w:type="dxa"/>
            <w:tcMar>
              <w:top w:w="0" w:type="dxa"/>
              <w:bottom w:w="0" w:type="dxa"/>
            </w:tcMar>
            <w:vAlign w:val="center"/>
          </w:tcPr>
          <w:p w:rsidR="00191739" w:rsidRDefault="00A23791">
            <w:pPr>
              <w:keepNext/>
              <w:keepLines/>
              <w:spacing w:after="0" w:line="240" w:lineRule="auto"/>
              <w:jc w:val="right"/>
            </w:pPr>
            <w:r>
              <w:rPr>
                <w:b/>
                <w:sz w:val="18"/>
              </w:rPr>
              <w:t>40.231,60</w:t>
            </w:r>
          </w:p>
        </w:tc>
        <w:tc>
          <w:tcPr>
            <w:tcW w:w="1860" w:type="dxa"/>
            <w:tcMar>
              <w:top w:w="0" w:type="dxa"/>
              <w:bottom w:w="0" w:type="dxa"/>
            </w:tcMar>
            <w:vAlign w:val="center"/>
          </w:tcPr>
          <w:p w:rsidR="00191739" w:rsidRDefault="00A23791">
            <w:pPr>
              <w:keepNext/>
              <w:keepLines/>
              <w:spacing w:after="0" w:line="240" w:lineRule="auto"/>
              <w:jc w:val="right"/>
            </w:pPr>
            <w:r>
              <w:rPr>
                <w:b/>
                <w:sz w:val="18"/>
              </w:rPr>
              <w:t>30.173,70</w:t>
            </w:r>
          </w:p>
        </w:tc>
        <w:tc>
          <w:tcPr>
            <w:tcW w:w="700" w:type="dxa"/>
            <w:tcMar>
              <w:top w:w="0" w:type="dxa"/>
              <w:bottom w:w="0" w:type="dxa"/>
            </w:tcMar>
            <w:vAlign w:val="center"/>
          </w:tcPr>
          <w:p w:rsidR="00191739" w:rsidRDefault="00A23791">
            <w:pPr>
              <w:keepNext/>
              <w:keepLines/>
              <w:spacing w:after="0" w:line="240" w:lineRule="auto"/>
              <w:jc w:val="right"/>
            </w:pPr>
            <w:r>
              <w:rPr>
                <w:b/>
                <w:sz w:val="18"/>
              </w:rPr>
              <w:t>75,0</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191739">
            <w:pPr>
              <w:keepNext/>
              <w:keepLines/>
              <w:spacing w:after="0" w:line="240" w:lineRule="auto"/>
            </w:pPr>
          </w:p>
        </w:tc>
        <w:tc>
          <w:tcPr>
            <w:tcW w:w="3180" w:type="dxa"/>
            <w:tcMar>
              <w:top w:w="0" w:type="dxa"/>
              <w:bottom w:w="0" w:type="dxa"/>
            </w:tcMar>
            <w:vAlign w:val="center"/>
          </w:tcPr>
          <w:p w:rsidR="00191739" w:rsidRDefault="00A23791">
            <w:pPr>
              <w:keepNext/>
              <w:keepLines/>
              <w:spacing w:after="0" w:line="240" w:lineRule="auto"/>
            </w:pPr>
            <w:r>
              <w:rPr>
                <w:b/>
                <w:sz w:val="18"/>
              </w:rPr>
              <w:t>MANJAK PRIHODA I PRIMITAKA (šifre Y345-X678)</w:t>
            </w:r>
          </w:p>
        </w:tc>
        <w:tc>
          <w:tcPr>
            <w:tcW w:w="700" w:type="dxa"/>
            <w:tcMar>
              <w:top w:w="0" w:type="dxa"/>
              <w:bottom w:w="0" w:type="dxa"/>
            </w:tcMar>
            <w:vAlign w:val="center"/>
          </w:tcPr>
          <w:p w:rsidR="00191739" w:rsidRDefault="00A23791">
            <w:pPr>
              <w:keepNext/>
              <w:keepLines/>
              <w:spacing w:after="0" w:line="240" w:lineRule="auto"/>
            </w:pPr>
            <w:r>
              <w:rPr>
                <w:b/>
                <w:sz w:val="18"/>
              </w:rPr>
              <w:t>Y005</w:t>
            </w:r>
          </w:p>
        </w:tc>
        <w:tc>
          <w:tcPr>
            <w:tcW w:w="1860" w:type="dxa"/>
            <w:tcMar>
              <w:top w:w="0" w:type="dxa"/>
              <w:bottom w:w="0" w:type="dxa"/>
            </w:tcMar>
            <w:vAlign w:val="center"/>
          </w:tcPr>
          <w:p w:rsidR="00191739" w:rsidRDefault="00A23791">
            <w:pPr>
              <w:keepNext/>
              <w:keepLines/>
              <w:spacing w:after="0" w:line="240" w:lineRule="auto"/>
              <w:jc w:val="right"/>
            </w:pPr>
            <w:r>
              <w:rPr>
                <w:b/>
                <w:sz w:val="18"/>
              </w:rPr>
              <w:t>0,00</w:t>
            </w:r>
          </w:p>
        </w:tc>
        <w:tc>
          <w:tcPr>
            <w:tcW w:w="1860" w:type="dxa"/>
            <w:tcMar>
              <w:top w:w="0" w:type="dxa"/>
              <w:bottom w:w="0" w:type="dxa"/>
            </w:tcMar>
            <w:vAlign w:val="center"/>
          </w:tcPr>
          <w:p w:rsidR="00191739" w:rsidRDefault="00A23791">
            <w:pPr>
              <w:keepNext/>
              <w:keepLines/>
              <w:spacing w:after="0" w:line="240" w:lineRule="auto"/>
              <w:jc w:val="right"/>
            </w:pPr>
            <w:r>
              <w:rPr>
                <w:b/>
                <w:sz w:val="18"/>
              </w:rPr>
              <w:t>98.568,84</w:t>
            </w:r>
          </w:p>
        </w:tc>
        <w:tc>
          <w:tcPr>
            <w:tcW w:w="700" w:type="dxa"/>
            <w:tcMar>
              <w:top w:w="0" w:type="dxa"/>
              <w:bottom w:w="0" w:type="dxa"/>
            </w:tcMar>
            <w:vAlign w:val="center"/>
          </w:tcPr>
          <w:p w:rsidR="00191739" w:rsidRDefault="00A23791">
            <w:pPr>
              <w:keepNext/>
              <w:keepLines/>
              <w:spacing w:after="0" w:line="240" w:lineRule="auto"/>
              <w:jc w:val="right"/>
            </w:pPr>
            <w:r>
              <w:rPr>
                <w:b/>
                <w:sz w:val="18"/>
              </w:rPr>
              <w:t>-</w:t>
            </w:r>
          </w:p>
        </w:tc>
      </w:tr>
    </w:tbl>
    <w:p w:rsidR="00191739" w:rsidRDefault="00191739">
      <w:pPr>
        <w:spacing w:after="0"/>
      </w:pPr>
    </w:p>
    <w:p w:rsidR="00191739" w:rsidRDefault="00A23791">
      <w:r>
        <w:t>U razdoblju od 1. siječ</w:t>
      </w:r>
      <w:r>
        <w:t>nja do 31. prosinca 2025. prihodi poslovanja ostvareni su u iznosu od 2.491.370,54€, što je 12,2% više nego u prethodnoj godini. Najznačajnije povećanje prihoda poslovanja ostvareno je zbog rasta prihoda od HZZ-a za obrazovanje odras</w:t>
      </w:r>
      <w:r>
        <w:t>lih, značajno povećanje prihoda poslovanja ostvareno je zbog rasta prihoda za plaće zaposlenih, budući je Odlukom Vlade RH o visini osnovice za obračun plaće u javnim službama u 2025.g. osnovica za izračun plaće uvećana 3 puta, prvi put s plaćom za siječ</w:t>
      </w:r>
      <w:r>
        <w:t>an</w:t>
      </w:r>
      <w:r>
        <w:t>j, drugi put s plaćom za veljaču i posljednji put za mjesec rujan. </w:t>
      </w:r>
      <w:r>
        <w:br/>
      </w:r>
      <w:r>
        <w:lastRenderedPageBreak/>
        <w:t>Najznačajnije smanjenje prihoda poslovanja bilježi se na prihodima vezanim uz pomoći temeljem prijenosa EU sredstava, zbog manjeg broja projekata. </w:t>
      </w:r>
      <w:r>
        <w:br/>
        <w:t>Rashodi poslovanja u razdoblju od 1. sij</w:t>
      </w:r>
      <w:r>
        <w:t>eč</w:t>
      </w:r>
      <w:r>
        <w:t>nja do 31. prosinca 2025. ostvareni su u iznosu od 2.489.286,74€, što je 34,5% više nego u prethodnoj godini. Najznačajnije povećanje rashoda evidentirano je na rashodima za zaposlene uslijed povećanja plaća, više je potrošeno za stručno usavršavanje zap</w:t>
      </w:r>
      <w:r>
        <w:t>oslenika, isto tako došlo je do povećanja rashoda za materijal i energiju, te za usluge zbog općeg poskupljenja cijena. </w:t>
      </w:r>
      <w:r>
        <w:br/>
        <w:t>U navedenom razdoblju nema ostvarenih prihoda od prodaje nefinancijske imovine, dok su rashodi za nabavu nefinancijske imovine ostvaren</w:t>
      </w:r>
      <w:r>
        <w:t>i u iznosu od 70.478,94€. Navedeni rashod odnosi se na radove kod izgradnje i rekonstrukcije strojarske radionice, pametni ekran, krovne i zidne panele, CNC mašinu, prijenosna računala. </w:t>
      </w:r>
      <w:r>
        <w:br/>
        <w:t>U navedenom razdoblju nije bilo ostvarenih primitaka od financijske i</w:t>
      </w:r>
      <w:r>
        <w:t>movine i zaduživanja, a izdaci se odnose na otplatu dugoročnog kredita kojeg je škola podignula 2018. godine za kupnju nekretnine, sadašnja radiona za održavanje stručne prakse učenika. </w:t>
      </w:r>
      <w:r>
        <w:br/>
        <w:t>U razdoblju od 1. siječ</w:t>
      </w:r>
      <w:r>
        <w:t>nja do 31. prosinca 2025. godine ostvaren je v</w:t>
      </w:r>
      <w:r>
        <w:t>išak prihoda poslovanja u iznosu od 2.083,80€, manjak prihoda od nefinancijske imovine u iznosu od 70.478,94€ te manjak od financijske imovine i zaduživanja u iznosu od 30.173,70€, slijedom čega je na kraju izvještajnog razdoblja ostvaren ukupan manjak pri</w:t>
      </w:r>
      <w:r>
        <w:t>hoda i primitaka u iznosu od 98.568,84€. </w:t>
      </w:r>
    </w:p>
    <w:p w:rsidR="00191739" w:rsidRDefault="00A23791">
      <w:r>
        <w:br/>
      </w:r>
    </w:p>
    <w:p w:rsidR="00191739" w:rsidRDefault="00A2379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634</w:t>
            </w:r>
          </w:p>
        </w:tc>
        <w:tc>
          <w:tcPr>
            <w:tcW w:w="3180" w:type="dxa"/>
            <w:tcMar>
              <w:top w:w="0" w:type="dxa"/>
              <w:bottom w:w="0" w:type="dxa"/>
            </w:tcMar>
            <w:vAlign w:val="center"/>
          </w:tcPr>
          <w:p w:rsidR="00191739" w:rsidRDefault="00A23791">
            <w:pPr>
              <w:keepNext/>
              <w:keepLines/>
              <w:spacing w:after="0" w:line="240" w:lineRule="auto"/>
            </w:pPr>
            <w:r>
              <w:rPr>
                <w:sz w:val="18"/>
              </w:rPr>
              <w:t xml:space="preserve">Pomoći od izvanproračunskih korisnika (šifre </w:t>
            </w:r>
            <w:r>
              <w:rPr>
                <w:sz w:val="18"/>
              </w:rPr>
              <w:t>6341+6342)</w:t>
            </w:r>
          </w:p>
        </w:tc>
        <w:tc>
          <w:tcPr>
            <w:tcW w:w="700" w:type="dxa"/>
            <w:tcMar>
              <w:top w:w="0" w:type="dxa"/>
              <w:bottom w:w="0" w:type="dxa"/>
            </w:tcMar>
            <w:vAlign w:val="center"/>
          </w:tcPr>
          <w:p w:rsidR="00191739" w:rsidRDefault="00A23791">
            <w:pPr>
              <w:keepNext/>
              <w:keepLines/>
              <w:spacing w:after="0" w:line="240" w:lineRule="auto"/>
            </w:pPr>
            <w:r>
              <w:rPr>
                <w:sz w:val="18"/>
              </w:rPr>
              <w:t>634</w:t>
            </w:r>
          </w:p>
        </w:tc>
        <w:tc>
          <w:tcPr>
            <w:tcW w:w="1860" w:type="dxa"/>
            <w:tcMar>
              <w:top w:w="0" w:type="dxa"/>
              <w:bottom w:w="0" w:type="dxa"/>
            </w:tcMar>
            <w:vAlign w:val="center"/>
          </w:tcPr>
          <w:p w:rsidR="00191739" w:rsidRDefault="00A23791">
            <w:pPr>
              <w:keepNext/>
              <w:keepLines/>
              <w:spacing w:after="0" w:line="240" w:lineRule="auto"/>
              <w:jc w:val="right"/>
            </w:pPr>
            <w:r>
              <w:rPr>
                <w:sz w:val="18"/>
              </w:rPr>
              <w:t>226.534,64</w:t>
            </w:r>
          </w:p>
        </w:tc>
        <w:tc>
          <w:tcPr>
            <w:tcW w:w="1860" w:type="dxa"/>
            <w:tcMar>
              <w:top w:w="0" w:type="dxa"/>
              <w:bottom w:w="0" w:type="dxa"/>
            </w:tcMar>
            <w:vAlign w:val="center"/>
          </w:tcPr>
          <w:p w:rsidR="00191739" w:rsidRDefault="00A23791">
            <w:pPr>
              <w:keepNext/>
              <w:keepLines/>
              <w:spacing w:after="0" w:line="240" w:lineRule="auto"/>
              <w:jc w:val="right"/>
            </w:pPr>
            <w:r>
              <w:rPr>
                <w:sz w:val="18"/>
              </w:rPr>
              <w:t>462.687,41</w:t>
            </w:r>
          </w:p>
        </w:tc>
        <w:tc>
          <w:tcPr>
            <w:tcW w:w="700" w:type="dxa"/>
            <w:tcMar>
              <w:top w:w="0" w:type="dxa"/>
              <w:bottom w:w="0" w:type="dxa"/>
            </w:tcMar>
            <w:vAlign w:val="center"/>
          </w:tcPr>
          <w:p w:rsidR="00191739" w:rsidRDefault="00A23791">
            <w:pPr>
              <w:keepNext/>
              <w:keepLines/>
              <w:spacing w:after="0" w:line="240" w:lineRule="auto"/>
              <w:jc w:val="right"/>
            </w:pPr>
            <w:r>
              <w:rPr>
                <w:sz w:val="18"/>
              </w:rPr>
              <w:t>204,2</w:t>
            </w:r>
          </w:p>
        </w:tc>
      </w:tr>
    </w:tbl>
    <w:p w:rsidR="00191739" w:rsidRDefault="00191739">
      <w:pPr>
        <w:spacing w:after="0"/>
      </w:pPr>
    </w:p>
    <w:p w:rsidR="00191739" w:rsidRDefault="00A23791">
      <w:r>
        <w:t>Prihodi od pomoći od izvanproračunskih korisnika bilježe povećanje od 104,2% u odnosu na prethodnu godinu zbog povećanja broja polaznika obrazovanja odraslih, uplate Vaučera - financijski instrument dodjele javnih sredstava za obrazovanje odraslih.</w:t>
      </w:r>
    </w:p>
    <w:p w:rsidR="00191739" w:rsidRDefault="00191739"/>
    <w:p w:rsidR="00191739" w:rsidRDefault="00A23791">
      <w:pPr>
        <w:keepNext/>
        <w:spacing w:line="240" w:lineRule="auto"/>
        <w:jc w:val="center"/>
      </w:pPr>
      <w:r>
        <w:rPr>
          <w:sz w:val="28"/>
        </w:rPr>
        <w:t>Bilješ</w:t>
      </w:r>
      <w:r>
        <w:rPr>
          <w:sz w:val="28"/>
        </w:rPr>
        <w:t>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639</w:t>
            </w:r>
          </w:p>
        </w:tc>
        <w:tc>
          <w:tcPr>
            <w:tcW w:w="3180" w:type="dxa"/>
            <w:tcMar>
              <w:top w:w="0" w:type="dxa"/>
              <w:bottom w:w="0" w:type="dxa"/>
            </w:tcMar>
            <w:vAlign w:val="center"/>
          </w:tcPr>
          <w:p w:rsidR="00191739" w:rsidRDefault="00A23791">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rsidR="00191739" w:rsidRDefault="00A23791">
            <w:pPr>
              <w:keepNext/>
              <w:keepLines/>
              <w:spacing w:after="0" w:line="240" w:lineRule="auto"/>
            </w:pPr>
            <w:r>
              <w:rPr>
                <w:sz w:val="18"/>
              </w:rPr>
              <w:t>639</w:t>
            </w:r>
          </w:p>
        </w:tc>
        <w:tc>
          <w:tcPr>
            <w:tcW w:w="1860" w:type="dxa"/>
            <w:tcMar>
              <w:top w:w="0" w:type="dxa"/>
              <w:bottom w:w="0" w:type="dxa"/>
            </w:tcMar>
            <w:vAlign w:val="center"/>
          </w:tcPr>
          <w:p w:rsidR="00191739" w:rsidRDefault="00A23791">
            <w:pPr>
              <w:keepNext/>
              <w:keepLines/>
              <w:spacing w:after="0" w:line="240" w:lineRule="auto"/>
              <w:jc w:val="right"/>
            </w:pPr>
            <w:r>
              <w:rPr>
                <w:sz w:val="18"/>
              </w:rPr>
              <w:t>34.029,02</w:t>
            </w:r>
          </w:p>
        </w:tc>
        <w:tc>
          <w:tcPr>
            <w:tcW w:w="1860" w:type="dxa"/>
            <w:tcMar>
              <w:top w:w="0" w:type="dxa"/>
              <w:bottom w:w="0" w:type="dxa"/>
            </w:tcMar>
            <w:vAlign w:val="center"/>
          </w:tcPr>
          <w:p w:rsidR="00191739" w:rsidRDefault="00A23791">
            <w:pPr>
              <w:keepNext/>
              <w:keepLines/>
              <w:spacing w:after="0" w:line="240" w:lineRule="auto"/>
              <w:jc w:val="right"/>
            </w:pPr>
            <w:r>
              <w:rPr>
                <w:sz w:val="18"/>
              </w:rPr>
              <w:t>46.849,39</w:t>
            </w:r>
          </w:p>
        </w:tc>
        <w:tc>
          <w:tcPr>
            <w:tcW w:w="700" w:type="dxa"/>
            <w:tcMar>
              <w:top w:w="0" w:type="dxa"/>
              <w:bottom w:w="0" w:type="dxa"/>
            </w:tcMar>
            <w:vAlign w:val="center"/>
          </w:tcPr>
          <w:p w:rsidR="00191739" w:rsidRDefault="00A23791">
            <w:pPr>
              <w:keepNext/>
              <w:keepLines/>
              <w:spacing w:after="0" w:line="240" w:lineRule="auto"/>
              <w:jc w:val="right"/>
            </w:pPr>
            <w:r>
              <w:rPr>
                <w:sz w:val="18"/>
              </w:rPr>
              <w:t>137,7</w:t>
            </w:r>
          </w:p>
        </w:tc>
      </w:tr>
    </w:tbl>
    <w:p w:rsidR="00191739" w:rsidRDefault="00191739">
      <w:pPr>
        <w:spacing w:after="0"/>
      </w:pPr>
    </w:p>
    <w:p w:rsidR="00191739" w:rsidRDefault="00A23791">
      <w:r>
        <w:t>Prihodi od prijenosa između proračunskih korisnika istog proračuna bilježe povećanje od 37,7% u odnosu na prethodnu godinu zbog rasta plaća asistenata u nastavi.</w:t>
      </w:r>
    </w:p>
    <w:p w:rsidR="00191739" w:rsidRDefault="00191739"/>
    <w:p w:rsidR="00191739" w:rsidRDefault="00A23791">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652</w:t>
            </w:r>
          </w:p>
        </w:tc>
        <w:tc>
          <w:tcPr>
            <w:tcW w:w="3180" w:type="dxa"/>
            <w:tcMar>
              <w:top w:w="0" w:type="dxa"/>
              <w:bottom w:w="0" w:type="dxa"/>
            </w:tcMar>
            <w:vAlign w:val="center"/>
          </w:tcPr>
          <w:p w:rsidR="00191739" w:rsidRDefault="00A23791">
            <w:pPr>
              <w:keepNext/>
              <w:keepLines/>
              <w:spacing w:after="0" w:line="240" w:lineRule="auto"/>
            </w:pPr>
            <w:r>
              <w:rPr>
                <w:sz w:val="18"/>
              </w:rPr>
              <w:t>Prihodi po posebnim propisima (šifre 6521 do 6528)</w:t>
            </w:r>
          </w:p>
        </w:tc>
        <w:tc>
          <w:tcPr>
            <w:tcW w:w="700" w:type="dxa"/>
            <w:tcMar>
              <w:top w:w="0" w:type="dxa"/>
              <w:bottom w:w="0" w:type="dxa"/>
            </w:tcMar>
            <w:vAlign w:val="center"/>
          </w:tcPr>
          <w:p w:rsidR="00191739" w:rsidRDefault="00A23791">
            <w:pPr>
              <w:keepNext/>
              <w:keepLines/>
              <w:spacing w:after="0" w:line="240" w:lineRule="auto"/>
            </w:pPr>
            <w:r>
              <w:rPr>
                <w:sz w:val="18"/>
              </w:rPr>
              <w:t>652</w:t>
            </w:r>
          </w:p>
        </w:tc>
        <w:tc>
          <w:tcPr>
            <w:tcW w:w="1860" w:type="dxa"/>
            <w:tcMar>
              <w:top w:w="0" w:type="dxa"/>
              <w:bottom w:w="0" w:type="dxa"/>
            </w:tcMar>
            <w:vAlign w:val="center"/>
          </w:tcPr>
          <w:p w:rsidR="00191739" w:rsidRDefault="00A23791">
            <w:pPr>
              <w:keepNext/>
              <w:keepLines/>
              <w:spacing w:after="0" w:line="240" w:lineRule="auto"/>
              <w:jc w:val="right"/>
            </w:pPr>
            <w:r>
              <w:rPr>
                <w:sz w:val="18"/>
              </w:rPr>
              <w:t>13.015,02</w:t>
            </w:r>
          </w:p>
        </w:tc>
        <w:tc>
          <w:tcPr>
            <w:tcW w:w="1860" w:type="dxa"/>
            <w:tcMar>
              <w:top w:w="0" w:type="dxa"/>
              <w:bottom w:w="0" w:type="dxa"/>
            </w:tcMar>
            <w:vAlign w:val="center"/>
          </w:tcPr>
          <w:p w:rsidR="00191739" w:rsidRDefault="00A23791">
            <w:pPr>
              <w:keepNext/>
              <w:keepLines/>
              <w:spacing w:after="0" w:line="240" w:lineRule="auto"/>
              <w:jc w:val="right"/>
            </w:pPr>
            <w:r>
              <w:rPr>
                <w:sz w:val="18"/>
              </w:rPr>
              <w:t>25.019,21</w:t>
            </w:r>
          </w:p>
        </w:tc>
        <w:tc>
          <w:tcPr>
            <w:tcW w:w="700" w:type="dxa"/>
            <w:tcMar>
              <w:top w:w="0" w:type="dxa"/>
              <w:bottom w:w="0" w:type="dxa"/>
            </w:tcMar>
            <w:vAlign w:val="center"/>
          </w:tcPr>
          <w:p w:rsidR="00191739" w:rsidRDefault="00A23791">
            <w:pPr>
              <w:keepNext/>
              <w:keepLines/>
              <w:spacing w:after="0" w:line="240" w:lineRule="auto"/>
              <w:jc w:val="right"/>
            </w:pPr>
            <w:r>
              <w:rPr>
                <w:sz w:val="18"/>
              </w:rPr>
              <w:t>192,2</w:t>
            </w:r>
          </w:p>
        </w:tc>
      </w:tr>
    </w:tbl>
    <w:p w:rsidR="00191739" w:rsidRDefault="00191739">
      <w:pPr>
        <w:spacing w:after="0"/>
      </w:pPr>
    </w:p>
    <w:p w:rsidR="00191739" w:rsidRDefault="00A23791">
      <w:r>
        <w:t>Prihodi po posebnim propisima bilježe povećanje od 92.2% u odnosu na prethodnu godinu zbog više uplata dnevnica za nastavnike, više uplata za polaganje ispita kod obrazovanja odraslih.</w:t>
      </w:r>
    </w:p>
    <w:p w:rsidR="00191739" w:rsidRDefault="00191739"/>
    <w:p w:rsidR="00191739" w:rsidRDefault="00A2379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w:t>
            </w:r>
            <w:r>
              <w:rPr>
                <w:b/>
                <w:sz w:val="18"/>
              </w:rPr>
              <w:t>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6614</w:t>
            </w:r>
          </w:p>
        </w:tc>
        <w:tc>
          <w:tcPr>
            <w:tcW w:w="3180" w:type="dxa"/>
            <w:tcMar>
              <w:top w:w="0" w:type="dxa"/>
              <w:bottom w:w="0" w:type="dxa"/>
            </w:tcMar>
            <w:vAlign w:val="center"/>
          </w:tcPr>
          <w:p w:rsidR="00191739" w:rsidRDefault="00A23791">
            <w:pPr>
              <w:keepNext/>
              <w:keepLines/>
              <w:spacing w:after="0" w:line="240" w:lineRule="auto"/>
            </w:pPr>
            <w:r>
              <w:rPr>
                <w:sz w:val="18"/>
              </w:rPr>
              <w:t>Prihodi od prodaje proizvoda i robe</w:t>
            </w:r>
          </w:p>
        </w:tc>
        <w:tc>
          <w:tcPr>
            <w:tcW w:w="700" w:type="dxa"/>
            <w:tcMar>
              <w:top w:w="0" w:type="dxa"/>
              <w:bottom w:w="0" w:type="dxa"/>
            </w:tcMar>
            <w:vAlign w:val="center"/>
          </w:tcPr>
          <w:p w:rsidR="00191739" w:rsidRDefault="00A23791">
            <w:pPr>
              <w:keepNext/>
              <w:keepLines/>
              <w:spacing w:after="0" w:line="240" w:lineRule="auto"/>
            </w:pPr>
            <w:r>
              <w:rPr>
                <w:sz w:val="18"/>
              </w:rPr>
              <w:t>6614</w:t>
            </w:r>
          </w:p>
        </w:tc>
        <w:tc>
          <w:tcPr>
            <w:tcW w:w="1860" w:type="dxa"/>
            <w:tcMar>
              <w:top w:w="0" w:type="dxa"/>
              <w:bottom w:w="0" w:type="dxa"/>
            </w:tcMar>
            <w:vAlign w:val="center"/>
          </w:tcPr>
          <w:p w:rsidR="00191739" w:rsidRDefault="00A23791">
            <w:pPr>
              <w:keepNext/>
              <w:keepLines/>
              <w:spacing w:after="0" w:line="240" w:lineRule="auto"/>
              <w:jc w:val="right"/>
            </w:pPr>
            <w:r>
              <w:rPr>
                <w:sz w:val="18"/>
              </w:rPr>
              <w:t>0,00</w:t>
            </w:r>
          </w:p>
        </w:tc>
        <w:tc>
          <w:tcPr>
            <w:tcW w:w="1860" w:type="dxa"/>
            <w:tcMar>
              <w:top w:w="0" w:type="dxa"/>
              <w:bottom w:w="0" w:type="dxa"/>
            </w:tcMar>
            <w:vAlign w:val="center"/>
          </w:tcPr>
          <w:p w:rsidR="00191739" w:rsidRDefault="00A23791">
            <w:pPr>
              <w:keepNext/>
              <w:keepLines/>
              <w:spacing w:after="0" w:line="240" w:lineRule="auto"/>
              <w:jc w:val="right"/>
            </w:pPr>
            <w:r>
              <w:rPr>
                <w:sz w:val="18"/>
              </w:rPr>
              <w:t>20.000,00</w:t>
            </w:r>
          </w:p>
        </w:tc>
        <w:tc>
          <w:tcPr>
            <w:tcW w:w="700" w:type="dxa"/>
            <w:tcMar>
              <w:top w:w="0" w:type="dxa"/>
              <w:bottom w:w="0" w:type="dxa"/>
            </w:tcMar>
            <w:vAlign w:val="center"/>
          </w:tcPr>
          <w:p w:rsidR="00191739" w:rsidRDefault="00A23791">
            <w:pPr>
              <w:keepNext/>
              <w:keepLines/>
              <w:spacing w:after="0" w:line="240" w:lineRule="auto"/>
              <w:jc w:val="right"/>
            </w:pPr>
            <w:r>
              <w:rPr>
                <w:sz w:val="18"/>
              </w:rPr>
              <w:t>-</w:t>
            </w:r>
          </w:p>
        </w:tc>
      </w:tr>
    </w:tbl>
    <w:p w:rsidR="00191739" w:rsidRDefault="00191739">
      <w:pPr>
        <w:spacing w:after="0"/>
      </w:pPr>
    </w:p>
    <w:p w:rsidR="00191739" w:rsidRDefault="00A23791">
      <w:r>
        <w:t>Prihodi od prodaje aparata za snack u prethodnom razdoblju ih nije bilo.</w:t>
      </w:r>
    </w:p>
    <w:p w:rsidR="00191739" w:rsidRDefault="00191739"/>
    <w:p w:rsidR="00191739" w:rsidRDefault="00A2379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6615</w:t>
            </w:r>
          </w:p>
        </w:tc>
        <w:tc>
          <w:tcPr>
            <w:tcW w:w="3180" w:type="dxa"/>
            <w:tcMar>
              <w:top w:w="0" w:type="dxa"/>
              <w:bottom w:w="0" w:type="dxa"/>
            </w:tcMar>
            <w:vAlign w:val="center"/>
          </w:tcPr>
          <w:p w:rsidR="00191739" w:rsidRDefault="00A23791">
            <w:pPr>
              <w:keepNext/>
              <w:keepLines/>
              <w:spacing w:after="0" w:line="240" w:lineRule="auto"/>
            </w:pPr>
            <w:r>
              <w:rPr>
                <w:sz w:val="18"/>
              </w:rPr>
              <w:t>Prihodi od pruženih usluga</w:t>
            </w:r>
          </w:p>
        </w:tc>
        <w:tc>
          <w:tcPr>
            <w:tcW w:w="700" w:type="dxa"/>
            <w:tcMar>
              <w:top w:w="0" w:type="dxa"/>
              <w:bottom w:w="0" w:type="dxa"/>
            </w:tcMar>
            <w:vAlign w:val="center"/>
          </w:tcPr>
          <w:p w:rsidR="00191739" w:rsidRDefault="00A23791">
            <w:pPr>
              <w:keepNext/>
              <w:keepLines/>
              <w:spacing w:after="0" w:line="240" w:lineRule="auto"/>
            </w:pPr>
            <w:r>
              <w:rPr>
                <w:sz w:val="18"/>
              </w:rPr>
              <w:t>6615</w:t>
            </w:r>
          </w:p>
        </w:tc>
        <w:tc>
          <w:tcPr>
            <w:tcW w:w="1860" w:type="dxa"/>
            <w:tcMar>
              <w:top w:w="0" w:type="dxa"/>
              <w:bottom w:w="0" w:type="dxa"/>
            </w:tcMar>
            <w:vAlign w:val="center"/>
          </w:tcPr>
          <w:p w:rsidR="00191739" w:rsidRDefault="00A23791">
            <w:pPr>
              <w:keepNext/>
              <w:keepLines/>
              <w:spacing w:after="0" w:line="240" w:lineRule="auto"/>
              <w:jc w:val="right"/>
            </w:pPr>
            <w:r>
              <w:rPr>
                <w:sz w:val="18"/>
              </w:rPr>
              <w:t>9.495,00</w:t>
            </w:r>
          </w:p>
        </w:tc>
        <w:tc>
          <w:tcPr>
            <w:tcW w:w="1860" w:type="dxa"/>
            <w:tcMar>
              <w:top w:w="0" w:type="dxa"/>
              <w:bottom w:w="0" w:type="dxa"/>
            </w:tcMar>
            <w:vAlign w:val="center"/>
          </w:tcPr>
          <w:p w:rsidR="00191739" w:rsidRDefault="00A23791">
            <w:pPr>
              <w:keepNext/>
              <w:keepLines/>
              <w:spacing w:after="0" w:line="240" w:lineRule="auto"/>
              <w:jc w:val="right"/>
            </w:pPr>
            <w:r>
              <w:rPr>
                <w:sz w:val="18"/>
              </w:rPr>
              <w:t>38.286,79</w:t>
            </w:r>
          </w:p>
        </w:tc>
        <w:tc>
          <w:tcPr>
            <w:tcW w:w="700" w:type="dxa"/>
            <w:tcMar>
              <w:top w:w="0" w:type="dxa"/>
              <w:bottom w:w="0" w:type="dxa"/>
            </w:tcMar>
            <w:vAlign w:val="center"/>
          </w:tcPr>
          <w:p w:rsidR="00191739" w:rsidRDefault="00A23791">
            <w:pPr>
              <w:keepNext/>
              <w:keepLines/>
              <w:spacing w:after="0" w:line="240" w:lineRule="auto"/>
              <w:jc w:val="right"/>
            </w:pPr>
            <w:r>
              <w:rPr>
                <w:sz w:val="18"/>
              </w:rPr>
              <w:t>403,2</w:t>
            </w:r>
          </w:p>
        </w:tc>
      </w:tr>
    </w:tbl>
    <w:p w:rsidR="00191739" w:rsidRDefault="00191739">
      <w:pPr>
        <w:spacing w:after="0"/>
      </w:pPr>
    </w:p>
    <w:p w:rsidR="00191739" w:rsidRDefault="00A23791">
      <w:r>
        <w:t>Prihodi od pruženih usluga bilježe povećanje od 303,2% u odnosu na prethodnu godinu zbog pruženih usluga kojih nije bilo u prošloj godini: usluge 3D printa, izrada i primjena programa na CNC alatnim strojevima, zajednička suradnja na projektu INA DMS 11147</w:t>
      </w:r>
      <w:r>
        <w:t>94, usluga izrade i popravka postojećih klupa i koševa za Grad Ludbreg.</w:t>
      </w:r>
    </w:p>
    <w:p w:rsidR="00191739" w:rsidRDefault="00191739"/>
    <w:p w:rsidR="00191739" w:rsidRDefault="00A2379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322</w:t>
            </w:r>
          </w:p>
        </w:tc>
        <w:tc>
          <w:tcPr>
            <w:tcW w:w="3180" w:type="dxa"/>
            <w:tcMar>
              <w:top w:w="0" w:type="dxa"/>
              <w:bottom w:w="0" w:type="dxa"/>
            </w:tcMar>
            <w:vAlign w:val="center"/>
          </w:tcPr>
          <w:p w:rsidR="00191739" w:rsidRDefault="00A23791">
            <w:pPr>
              <w:keepNext/>
              <w:keepLines/>
              <w:spacing w:after="0" w:line="240" w:lineRule="auto"/>
            </w:pPr>
            <w:r>
              <w:rPr>
                <w:sz w:val="18"/>
              </w:rPr>
              <w:t xml:space="preserve">Rashodi za </w:t>
            </w:r>
            <w:r>
              <w:rPr>
                <w:sz w:val="18"/>
              </w:rPr>
              <w:t>materijal i energiju (šifre 3221 do 3227)</w:t>
            </w:r>
          </w:p>
        </w:tc>
        <w:tc>
          <w:tcPr>
            <w:tcW w:w="700" w:type="dxa"/>
            <w:tcMar>
              <w:top w:w="0" w:type="dxa"/>
              <w:bottom w:w="0" w:type="dxa"/>
            </w:tcMar>
            <w:vAlign w:val="center"/>
          </w:tcPr>
          <w:p w:rsidR="00191739" w:rsidRDefault="00A23791">
            <w:pPr>
              <w:keepNext/>
              <w:keepLines/>
              <w:spacing w:after="0" w:line="240" w:lineRule="auto"/>
            </w:pPr>
            <w:r>
              <w:rPr>
                <w:sz w:val="18"/>
              </w:rPr>
              <w:t>322</w:t>
            </w:r>
          </w:p>
        </w:tc>
        <w:tc>
          <w:tcPr>
            <w:tcW w:w="1860" w:type="dxa"/>
            <w:tcMar>
              <w:top w:w="0" w:type="dxa"/>
              <w:bottom w:w="0" w:type="dxa"/>
            </w:tcMar>
            <w:vAlign w:val="center"/>
          </w:tcPr>
          <w:p w:rsidR="00191739" w:rsidRDefault="00A23791">
            <w:pPr>
              <w:keepNext/>
              <w:keepLines/>
              <w:spacing w:after="0" w:line="240" w:lineRule="auto"/>
              <w:jc w:val="right"/>
            </w:pPr>
            <w:r>
              <w:rPr>
                <w:sz w:val="18"/>
              </w:rPr>
              <w:t>52.119,03</w:t>
            </w:r>
          </w:p>
        </w:tc>
        <w:tc>
          <w:tcPr>
            <w:tcW w:w="1860" w:type="dxa"/>
            <w:tcMar>
              <w:top w:w="0" w:type="dxa"/>
              <w:bottom w:w="0" w:type="dxa"/>
            </w:tcMar>
            <w:vAlign w:val="center"/>
          </w:tcPr>
          <w:p w:rsidR="00191739" w:rsidRDefault="00A23791">
            <w:pPr>
              <w:keepNext/>
              <w:keepLines/>
              <w:spacing w:after="0" w:line="240" w:lineRule="auto"/>
              <w:jc w:val="right"/>
            </w:pPr>
            <w:r>
              <w:rPr>
                <w:sz w:val="18"/>
              </w:rPr>
              <w:t>114.784,86</w:t>
            </w:r>
          </w:p>
        </w:tc>
        <w:tc>
          <w:tcPr>
            <w:tcW w:w="700" w:type="dxa"/>
            <w:tcMar>
              <w:top w:w="0" w:type="dxa"/>
              <w:bottom w:w="0" w:type="dxa"/>
            </w:tcMar>
            <w:vAlign w:val="center"/>
          </w:tcPr>
          <w:p w:rsidR="00191739" w:rsidRDefault="00A23791">
            <w:pPr>
              <w:keepNext/>
              <w:keepLines/>
              <w:spacing w:after="0" w:line="240" w:lineRule="auto"/>
              <w:jc w:val="right"/>
            </w:pPr>
            <w:r>
              <w:rPr>
                <w:sz w:val="18"/>
              </w:rPr>
              <w:t>220,2</w:t>
            </w:r>
          </w:p>
        </w:tc>
      </w:tr>
    </w:tbl>
    <w:p w:rsidR="00191739" w:rsidRDefault="00191739">
      <w:pPr>
        <w:spacing w:after="0"/>
      </w:pPr>
    </w:p>
    <w:p w:rsidR="00191739" w:rsidRDefault="00A23791">
      <w:r>
        <w:t>Rashodi za materijal i energiju bilježe povećanje od 120,2% u odnosu na prethodnu godinu zbog općeg povećanja cijena na nivou države, povećanog troška za namirnice, ugradnje video nadzora i sustava kontrole pristupa.</w:t>
      </w:r>
    </w:p>
    <w:p w:rsidR="00191739" w:rsidRDefault="00191739"/>
    <w:p w:rsidR="00191739" w:rsidRDefault="00A23791">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3231</w:t>
            </w:r>
          </w:p>
        </w:tc>
        <w:tc>
          <w:tcPr>
            <w:tcW w:w="3180" w:type="dxa"/>
            <w:tcMar>
              <w:top w:w="0" w:type="dxa"/>
              <w:bottom w:w="0" w:type="dxa"/>
            </w:tcMar>
            <w:vAlign w:val="center"/>
          </w:tcPr>
          <w:p w:rsidR="00191739" w:rsidRDefault="00A23791">
            <w:pPr>
              <w:keepNext/>
              <w:keepLines/>
              <w:spacing w:after="0" w:line="240" w:lineRule="auto"/>
            </w:pPr>
            <w:r>
              <w:rPr>
                <w:sz w:val="18"/>
              </w:rPr>
              <w:t>Usluge telefona, interneta, pošte i prijevoza</w:t>
            </w:r>
          </w:p>
        </w:tc>
        <w:tc>
          <w:tcPr>
            <w:tcW w:w="700" w:type="dxa"/>
            <w:tcMar>
              <w:top w:w="0" w:type="dxa"/>
              <w:bottom w:w="0" w:type="dxa"/>
            </w:tcMar>
            <w:vAlign w:val="center"/>
          </w:tcPr>
          <w:p w:rsidR="00191739" w:rsidRDefault="00A23791">
            <w:pPr>
              <w:keepNext/>
              <w:keepLines/>
              <w:spacing w:after="0" w:line="240" w:lineRule="auto"/>
            </w:pPr>
            <w:r>
              <w:rPr>
                <w:sz w:val="18"/>
              </w:rPr>
              <w:t>3231</w:t>
            </w:r>
          </w:p>
        </w:tc>
        <w:tc>
          <w:tcPr>
            <w:tcW w:w="1860" w:type="dxa"/>
            <w:tcMar>
              <w:top w:w="0" w:type="dxa"/>
              <w:bottom w:w="0" w:type="dxa"/>
            </w:tcMar>
            <w:vAlign w:val="center"/>
          </w:tcPr>
          <w:p w:rsidR="00191739" w:rsidRDefault="00A23791">
            <w:pPr>
              <w:keepNext/>
              <w:keepLines/>
              <w:spacing w:after="0" w:line="240" w:lineRule="auto"/>
              <w:jc w:val="right"/>
            </w:pPr>
            <w:r>
              <w:rPr>
                <w:sz w:val="18"/>
              </w:rPr>
              <w:t>9.278,43</w:t>
            </w:r>
          </w:p>
        </w:tc>
        <w:tc>
          <w:tcPr>
            <w:tcW w:w="1860" w:type="dxa"/>
            <w:tcMar>
              <w:top w:w="0" w:type="dxa"/>
              <w:bottom w:w="0" w:type="dxa"/>
            </w:tcMar>
            <w:vAlign w:val="center"/>
          </w:tcPr>
          <w:p w:rsidR="00191739" w:rsidRDefault="00A23791">
            <w:pPr>
              <w:keepNext/>
              <w:keepLines/>
              <w:spacing w:after="0" w:line="240" w:lineRule="auto"/>
              <w:jc w:val="right"/>
            </w:pPr>
            <w:r>
              <w:rPr>
                <w:sz w:val="18"/>
              </w:rPr>
              <w:t>34.726,63</w:t>
            </w:r>
          </w:p>
        </w:tc>
        <w:tc>
          <w:tcPr>
            <w:tcW w:w="700" w:type="dxa"/>
            <w:tcMar>
              <w:top w:w="0" w:type="dxa"/>
              <w:bottom w:w="0" w:type="dxa"/>
            </w:tcMar>
            <w:vAlign w:val="center"/>
          </w:tcPr>
          <w:p w:rsidR="00191739" w:rsidRDefault="00A23791">
            <w:pPr>
              <w:keepNext/>
              <w:keepLines/>
              <w:spacing w:after="0" w:line="240" w:lineRule="auto"/>
              <w:jc w:val="right"/>
            </w:pPr>
            <w:r>
              <w:rPr>
                <w:sz w:val="18"/>
              </w:rPr>
              <w:t>374,3</w:t>
            </w:r>
          </w:p>
        </w:tc>
      </w:tr>
    </w:tbl>
    <w:p w:rsidR="00191739" w:rsidRDefault="00191739">
      <w:pPr>
        <w:spacing w:after="0"/>
      </w:pPr>
    </w:p>
    <w:p w:rsidR="00191739" w:rsidRDefault="00A23791">
      <w:r>
        <w:t xml:space="preserve">Rashodi za usluge telefona, interneta, pošte i prijevoza bilježe povećanje od 274,3% u odnosu na prethodnu godinu zbog elektroinstalaterskih radova u prostorijama srednje škole te kupnje avionskih karata za </w:t>
      </w:r>
      <w:proofErr w:type="spellStart"/>
      <w:r>
        <w:t>Erasmus</w:t>
      </w:r>
      <w:proofErr w:type="spellEnd"/>
      <w:r>
        <w:t xml:space="preserve"> projekte.</w:t>
      </w:r>
    </w:p>
    <w:p w:rsidR="00191739" w:rsidRDefault="00191739"/>
    <w:p w:rsidR="00191739" w:rsidRDefault="00A2379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w:t>
            </w:r>
            <w:r>
              <w:rPr>
                <w:b/>
                <w:sz w:val="18"/>
              </w:rPr>
              <w:t>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3232</w:t>
            </w:r>
          </w:p>
        </w:tc>
        <w:tc>
          <w:tcPr>
            <w:tcW w:w="3180" w:type="dxa"/>
            <w:tcMar>
              <w:top w:w="0" w:type="dxa"/>
              <w:bottom w:w="0" w:type="dxa"/>
            </w:tcMar>
            <w:vAlign w:val="center"/>
          </w:tcPr>
          <w:p w:rsidR="00191739" w:rsidRDefault="00A23791">
            <w:pPr>
              <w:keepNext/>
              <w:keepLines/>
              <w:spacing w:after="0" w:line="240" w:lineRule="auto"/>
            </w:pPr>
            <w:r>
              <w:rPr>
                <w:sz w:val="18"/>
              </w:rPr>
              <w:t>Usluge tekućeg i investicijskog održavanja</w:t>
            </w:r>
          </w:p>
        </w:tc>
        <w:tc>
          <w:tcPr>
            <w:tcW w:w="700" w:type="dxa"/>
            <w:tcMar>
              <w:top w:w="0" w:type="dxa"/>
              <w:bottom w:w="0" w:type="dxa"/>
            </w:tcMar>
            <w:vAlign w:val="center"/>
          </w:tcPr>
          <w:p w:rsidR="00191739" w:rsidRDefault="00A23791">
            <w:pPr>
              <w:keepNext/>
              <w:keepLines/>
              <w:spacing w:after="0" w:line="240" w:lineRule="auto"/>
            </w:pPr>
            <w:r>
              <w:rPr>
                <w:sz w:val="18"/>
              </w:rPr>
              <w:t>3232</w:t>
            </w:r>
          </w:p>
        </w:tc>
        <w:tc>
          <w:tcPr>
            <w:tcW w:w="1860" w:type="dxa"/>
            <w:tcMar>
              <w:top w:w="0" w:type="dxa"/>
              <w:bottom w:w="0" w:type="dxa"/>
            </w:tcMar>
            <w:vAlign w:val="center"/>
          </w:tcPr>
          <w:p w:rsidR="00191739" w:rsidRDefault="00A23791">
            <w:pPr>
              <w:keepNext/>
              <w:keepLines/>
              <w:spacing w:after="0" w:line="240" w:lineRule="auto"/>
              <w:jc w:val="right"/>
            </w:pPr>
            <w:r>
              <w:rPr>
                <w:sz w:val="18"/>
              </w:rPr>
              <w:t>7.293,58</w:t>
            </w:r>
          </w:p>
        </w:tc>
        <w:tc>
          <w:tcPr>
            <w:tcW w:w="1860" w:type="dxa"/>
            <w:tcMar>
              <w:top w:w="0" w:type="dxa"/>
              <w:bottom w:w="0" w:type="dxa"/>
            </w:tcMar>
            <w:vAlign w:val="center"/>
          </w:tcPr>
          <w:p w:rsidR="00191739" w:rsidRDefault="00A23791">
            <w:pPr>
              <w:keepNext/>
              <w:keepLines/>
              <w:spacing w:after="0" w:line="240" w:lineRule="auto"/>
              <w:jc w:val="right"/>
            </w:pPr>
            <w:r>
              <w:rPr>
                <w:sz w:val="18"/>
              </w:rPr>
              <w:t>50.514,62</w:t>
            </w:r>
          </w:p>
        </w:tc>
        <w:tc>
          <w:tcPr>
            <w:tcW w:w="700" w:type="dxa"/>
            <w:tcMar>
              <w:top w:w="0" w:type="dxa"/>
              <w:bottom w:w="0" w:type="dxa"/>
            </w:tcMar>
            <w:vAlign w:val="center"/>
          </w:tcPr>
          <w:p w:rsidR="00191739" w:rsidRDefault="00A23791">
            <w:pPr>
              <w:keepNext/>
              <w:keepLines/>
              <w:spacing w:after="0" w:line="240" w:lineRule="auto"/>
              <w:jc w:val="right"/>
            </w:pPr>
            <w:r>
              <w:rPr>
                <w:sz w:val="18"/>
              </w:rPr>
              <w:t>692,6</w:t>
            </w:r>
          </w:p>
        </w:tc>
      </w:tr>
    </w:tbl>
    <w:p w:rsidR="00191739" w:rsidRDefault="00191739">
      <w:pPr>
        <w:spacing w:after="0"/>
      </w:pPr>
    </w:p>
    <w:p w:rsidR="00191739" w:rsidRDefault="00A23791">
      <w:r>
        <w:t xml:space="preserve">Rashodi za usluge tekućeg i investicijskog održavanja bilježe povećanje od 592,6% u odnosu na prethodnu godinu zbog usluge betoniranja podloge kioska, usluge elektroinstalacije kioska, popravka 3D printera, usluge ugradnje video nadzora i </w:t>
      </w:r>
      <w:proofErr w:type="spellStart"/>
      <w:r>
        <w:t>sutava</w:t>
      </w:r>
      <w:proofErr w:type="spellEnd"/>
      <w:r>
        <w:t xml:space="preserve"> kontrole p</w:t>
      </w:r>
      <w:r>
        <w:t xml:space="preserve">ristupa, plaćanje duga iz 2024.g. prema firmi Lukom d.o.o. za uslugu održavanja zelenih površina, usluge instalacije i administracije </w:t>
      </w:r>
      <w:proofErr w:type="spellStart"/>
      <w:r>
        <w:t>ssd</w:t>
      </w:r>
      <w:proofErr w:type="spellEnd"/>
      <w:r>
        <w:t xml:space="preserve"> diskova, usluga dostave, podešavanja, umrežavanja, postavljanja projektora, usluge izrade Objekta 3 za praktičnu nasta</w:t>
      </w:r>
      <w:r>
        <w:t>vu, sadnja voćaka na lokaciji U</w:t>
      </w:r>
      <w:r>
        <w:t>l.</w:t>
      </w:r>
      <w:bookmarkStart w:id="0" w:name="_GoBack"/>
      <w:bookmarkEnd w:id="0"/>
      <w:r>
        <w:t xml:space="preserve"> </w:t>
      </w:r>
      <w:proofErr w:type="spellStart"/>
      <w:r>
        <w:t>M.P.Miškine</w:t>
      </w:r>
      <w:proofErr w:type="spellEnd"/>
      <w:r>
        <w:t xml:space="preserve"> 4, usluga dostave komposta, usluga montaže konstrukcije i panela za Objekt 4. </w:t>
      </w:r>
    </w:p>
    <w:p w:rsidR="00191739" w:rsidRDefault="00191739"/>
    <w:p w:rsidR="00191739" w:rsidRDefault="00A2379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w:t>
            </w:r>
            <w:r>
              <w:rPr>
                <w:b/>
                <w:sz w:val="18"/>
              </w:rPr>
              <w:t>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3235</w:t>
            </w:r>
          </w:p>
        </w:tc>
        <w:tc>
          <w:tcPr>
            <w:tcW w:w="3180" w:type="dxa"/>
            <w:tcMar>
              <w:top w:w="0" w:type="dxa"/>
              <w:bottom w:w="0" w:type="dxa"/>
            </w:tcMar>
            <w:vAlign w:val="center"/>
          </w:tcPr>
          <w:p w:rsidR="00191739" w:rsidRDefault="00A23791">
            <w:pPr>
              <w:keepNext/>
              <w:keepLines/>
              <w:spacing w:after="0" w:line="240" w:lineRule="auto"/>
            </w:pPr>
            <w:r>
              <w:rPr>
                <w:sz w:val="18"/>
              </w:rPr>
              <w:t>Zakupnine i najamnine</w:t>
            </w:r>
          </w:p>
        </w:tc>
        <w:tc>
          <w:tcPr>
            <w:tcW w:w="700" w:type="dxa"/>
            <w:tcMar>
              <w:top w:w="0" w:type="dxa"/>
              <w:bottom w:w="0" w:type="dxa"/>
            </w:tcMar>
            <w:vAlign w:val="center"/>
          </w:tcPr>
          <w:p w:rsidR="00191739" w:rsidRDefault="00A23791">
            <w:pPr>
              <w:keepNext/>
              <w:keepLines/>
              <w:spacing w:after="0" w:line="240" w:lineRule="auto"/>
            </w:pPr>
            <w:r>
              <w:rPr>
                <w:sz w:val="18"/>
              </w:rPr>
              <w:t>3235</w:t>
            </w:r>
          </w:p>
        </w:tc>
        <w:tc>
          <w:tcPr>
            <w:tcW w:w="1860" w:type="dxa"/>
            <w:tcMar>
              <w:top w:w="0" w:type="dxa"/>
              <w:bottom w:w="0" w:type="dxa"/>
            </w:tcMar>
            <w:vAlign w:val="center"/>
          </w:tcPr>
          <w:p w:rsidR="00191739" w:rsidRDefault="00A23791">
            <w:pPr>
              <w:keepNext/>
              <w:keepLines/>
              <w:spacing w:after="0" w:line="240" w:lineRule="auto"/>
              <w:jc w:val="right"/>
            </w:pPr>
            <w:r>
              <w:rPr>
                <w:sz w:val="18"/>
              </w:rPr>
              <w:t>23.571,18</w:t>
            </w:r>
          </w:p>
        </w:tc>
        <w:tc>
          <w:tcPr>
            <w:tcW w:w="1860" w:type="dxa"/>
            <w:tcMar>
              <w:top w:w="0" w:type="dxa"/>
              <w:bottom w:w="0" w:type="dxa"/>
            </w:tcMar>
            <w:vAlign w:val="center"/>
          </w:tcPr>
          <w:p w:rsidR="00191739" w:rsidRDefault="00A23791">
            <w:pPr>
              <w:keepNext/>
              <w:keepLines/>
              <w:spacing w:after="0" w:line="240" w:lineRule="auto"/>
              <w:jc w:val="right"/>
            </w:pPr>
            <w:r>
              <w:rPr>
                <w:sz w:val="18"/>
              </w:rPr>
              <w:t>42.001,95</w:t>
            </w:r>
          </w:p>
        </w:tc>
        <w:tc>
          <w:tcPr>
            <w:tcW w:w="700" w:type="dxa"/>
            <w:tcMar>
              <w:top w:w="0" w:type="dxa"/>
              <w:bottom w:w="0" w:type="dxa"/>
            </w:tcMar>
            <w:vAlign w:val="center"/>
          </w:tcPr>
          <w:p w:rsidR="00191739" w:rsidRDefault="00A23791">
            <w:pPr>
              <w:keepNext/>
              <w:keepLines/>
              <w:spacing w:after="0" w:line="240" w:lineRule="auto"/>
              <w:jc w:val="right"/>
            </w:pPr>
            <w:r>
              <w:rPr>
                <w:sz w:val="18"/>
              </w:rPr>
              <w:t>178,2</w:t>
            </w:r>
          </w:p>
        </w:tc>
      </w:tr>
    </w:tbl>
    <w:p w:rsidR="00191739" w:rsidRDefault="00191739">
      <w:pPr>
        <w:spacing w:after="0"/>
      </w:pPr>
    </w:p>
    <w:p w:rsidR="00191739" w:rsidRDefault="00A23791">
      <w:r>
        <w:t>Rashodi za zakupnine i najamnine bilježe povećanje od 78,2% u odnosu na prethodnu godinu zbog povećanog broja najma učionica za obrazovanje odraslih.</w:t>
      </w:r>
    </w:p>
    <w:p w:rsidR="00191739" w:rsidRDefault="00191739"/>
    <w:p w:rsidR="00191739" w:rsidRDefault="00A2379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3237</w:t>
            </w:r>
          </w:p>
        </w:tc>
        <w:tc>
          <w:tcPr>
            <w:tcW w:w="3180" w:type="dxa"/>
            <w:tcMar>
              <w:top w:w="0" w:type="dxa"/>
              <w:bottom w:w="0" w:type="dxa"/>
            </w:tcMar>
            <w:vAlign w:val="center"/>
          </w:tcPr>
          <w:p w:rsidR="00191739" w:rsidRDefault="00A23791">
            <w:pPr>
              <w:keepNext/>
              <w:keepLines/>
              <w:spacing w:after="0" w:line="240" w:lineRule="auto"/>
            </w:pPr>
            <w:r>
              <w:rPr>
                <w:sz w:val="18"/>
              </w:rPr>
              <w:t>Intelektualne i osobne usluge</w:t>
            </w:r>
          </w:p>
        </w:tc>
        <w:tc>
          <w:tcPr>
            <w:tcW w:w="700" w:type="dxa"/>
            <w:tcMar>
              <w:top w:w="0" w:type="dxa"/>
              <w:bottom w:w="0" w:type="dxa"/>
            </w:tcMar>
            <w:vAlign w:val="center"/>
          </w:tcPr>
          <w:p w:rsidR="00191739" w:rsidRDefault="00A23791">
            <w:pPr>
              <w:keepNext/>
              <w:keepLines/>
              <w:spacing w:after="0" w:line="240" w:lineRule="auto"/>
            </w:pPr>
            <w:r>
              <w:rPr>
                <w:sz w:val="18"/>
              </w:rPr>
              <w:t>3237</w:t>
            </w:r>
          </w:p>
        </w:tc>
        <w:tc>
          <w:tcPr>
            <w:tcW w:w="1860" w:type="dxa"/>
            <w:tcMar>
              <w:top w:w="0" w:type="dxa"/>
              <w:bottom w:w="0" w:type="dxa"/>
            </w:tcMar>
            <w:vAlign w:val="center"/>
          </w:tcPr>
          <w:p w:rsidR="00191739" w:rsidRDefault="00A23791">
            <w:pPr>
              <w:keepNext/>
              <w:keepLines/>
              <w:spacing w:after="0" w:line="240" w:lineRule="auto"/>
              <w:jc w:val="right"/>
            </w:pPr>
            <w:r>
              <w:rPr>
                <w:sz w:val="18"/>
              </w:rPr>
              <w:t>102.539,70</w:t>
            </w:r>
          </w:p>
        </w:tc>
        <w:tc>
          <w:tcPr>
            <w:tcW w:w="1860" w:type="dxa"/>
            <w:tcMar>
              <w:top w:w="0" w:type="dxa"/>
              <w:bottom w:w="0" w:type="dxa"/>
            </w:tcMar>
            <w:vAlign w:val="center"/>
          </w:tcPr>
          <w:p w:rsidR="00191739" w:rsidRDefault="00A23791">
            <w:pPr>
              <w:keepNext/>
              <w:keepLines/>
              <w:spacing w:after="0" w:line="240" w:lineRule="auto"/>
              <w:jc w:val="right"/>
            </w:pPr>
            <w:r>
              <w:rPr>
                <w:sz w:val="18"/>
              </w:rPr>
              <w:t>279.053,72</w:t>
            </w:r>
          </w:p>
        </w:tc>
        <w:tc>
          <w:tcPr>
            <w:tcW w:w="700" w:type="dxa"/>
            <w:tcMar>
              <w:top w:w="0" w:type="dxa"/>
              <w:bottom w:w="0" w:type="dxa"/>
            </w:tcMar>
            <w:vAlign w:val="center"/>
          </w:tcPr>
          <w:p w:rsidR="00191739" w:rsidRDefault="00A23791">
            <w:pPr>
              <w:keepNext/>
              <w:keepLines/>
              <w:spacing w:after="0" w:line="240" w:lineRule="auto"/>
              <w:jc w:val="right"/>
            </w:pPr>
            <w:r>
              <w:rPr>
                <w:sz w:val="18"/>
              </w:rPr>
              <w:t>272,1</w:t>
            </w:r>
          </w:p>
        </w:tc>
      </w:tr>
    </w:tbl>
    <w:p w:rsidR="00191739" w:rsidRDefault="00191739">
      <w:pPr>
        <w:spacing w:after="0"/>
      </w:pPr>
    </w:p>
    <w:p w:rsidR="00191739" w:rsidRDefault="00A23791">
      <w:r>
        <w:lastRenderedPageBreak/>
        <w:t>Rashodi za intelektualne i osobne usluge bilježe povećanje od 172,1% u odnosu na prethodnu godinu zbog povećanja isplata po Ugovorima o djelu vezanih uz obrazovanje odraslih.</w:t>
      </w:r>
    </w:p>
    <w:p w:rsidR="00191739" w:rsidRDefault="00191739"/>
    <w:p w:rsidR="00191739" w:rsidRDefault="00A2379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w:t>
            </w:r>
            <w:r>
              <w:rPr>
                <w:b/>
                <w:sz w:val="18"/>
              </w:rPr>
              <w:t>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3238</w:t>
            </w:r>
          </w:p>
        </w:tc>
        <w:tc>
          <w:tcPr>
            <w:tcW w:w="3180" w:type="dxa"/>
            <w:tcMar>
              <w:top w:w="0" w:type="dxa"/>
              <w:bottom w:w="0" w:type="dxa"/>
            </w:tcMar>
            <w:vAlign w:val="center"/>
          </w:tcPr>
          <w:p w:rsidR="00191739" w:rsidRDefault="00A23791">
            <w:pPr>
              <w:keepNext/>
              <w:keepLines/>
              <w:spacing w:after="0" w:line="240" w:lineRule="auto"/>
            </w:pPr>
            <w:r>
              <w:rPr>
                <w:sz w:val="18"/>
              </w:rPr>
              <w:t>Računalne usluge</w:t>
            </w:r>
          </w:p>
        </w:tc>
        <w:tc>
          <w:tcPr>
            <w:tcW w:w="700" w:type="dxa"/>
            <w:tcMar>
              <w:top w:w="0" w:type="dxa"/>
              <w:bottom w:w="0" w:type="dxa"/>
            </w:tcMar>
            <w:vAlign w:val="center"/>
          </w:tcPr>
          <w:p w:rsidR="00191739" w:rsidRDefault="00A23791">
            <w:pPr>
              <w:keepNext/>
              <w:keepLines/>
              <w:spacing w:after="0" w:line="240" w:lineRule="auto"/>
            </w:pPr>
            <w:r>
              <w:rPr>
                <w:sz w:val="18"/>
              </w:rPr>
              <w:t>3238</w:t>
            </w:r>
          </w:p>
        </w:tc>
        <w:tc>
          <w:tcPr>
            <w:tcW w:w="1860" w:type="dxa"/>
            <w:tcMar>
              <w:top w:w="0" w:type="dxa"/>
              <w:bottom w:w="0" w:type="dxa"/>
            </w:tcMar>
            <w:vAlign w:val="center"/>
          </w:tcPr>
          <w:p w:rsidR="00191739" w:rsidRDefault="00A23791">
            <w:pPr>
              <w:keepNext/>
              <w:keepLines/>
              <w:spacing w:after="0" w:line="240" w:lineRule="auto"/>
              <w:jc w:val="right"/>
            </w:pPr>
            <w:r>
              <w:rPr>
                <w:sz w:val="18"/>
              </w:rPr>
              <w:t>1.647,45</w:t>
            </w:r>
          </w:p>
        </w:tc>
        <w:tc>
          <w:tcPr>
            <w:tcW w:w="1860" w:type="dxa"/>
            <w:tcMar>
              <w:top w:w="0" w:type="dxa"/>
              <w:bottom w:w="0" w:type="dxa"/>
            </w:tcMar>
            <w:vAlign w:val="center"/>
          </w:tcPr>
          <w:p w:rsidR="00191739" w:rsidRDefault="00A23791">
            <w:pPr>
              <w:keepNext/>
              <w:keepLines/>
              <w:spacing w:after="0" w:line="240" w:lineRule="auto"/>
              <w:jc w:val="right"/>
            </w:pPr>
            <w:r>
              <w:rPr>
                <w:sz w:val="18"/>
              </w:rPr>
              <w:t>3.611,58</w:t>
            </w:r>
          </w:p>
        </w:tc>
        <w:tc>
          <w:tcPr>
            <w:tcW w:w="700" w:type="dxa"/>
            <w:tcMar>
              <w:top w:w="0" w:type="dxa"/>
              <w:bottom w:w="0" w:type="dxa"/>
            </w:tcMar>
            <w:vAlign w:val="center"/>
          </w:tcPr>
          <w:p w:rsidR="00191739" w:rsidRDefault="00A23791">
            <w:pPr>
              <w:keepNext/>
              <w:keepLines/>
              <w:spacing w:after="0" w:line="240" w:lineRule="auto"/>
              <w:jc w:val="right"/>
            </w:pPr>
            <w:r>
              <w:rPr>
                <w:sz w:val="18"/>
              </w:rPr>
              <w:t>219,2</w:t>
            </w:r>
          </w:p>
        </w:tc>
      </w:tr>
    </w:tbl>
    <w:p w:rsidR="00191739" w:rsidRDefault="00191739">
      <w:pPr>
        <w:spacing w:after="0"/>
      </w:pPr>
    </w:p>
    <w:p w:rsidR="00191739" w:rsidRDefault="00A23791">
      <w:r>
        <w:t>Rashodi za računalne usluge bilježe povećanje od 119,2% u odnosu na prethodno razdoblje zbog poskupljenja održavanja.</w:t>
      </w:r>
    </w:p>
    <w:p w:rsidR="00191739" w:rsidRDefault="00191739"/>
    <w:p w:rsidR="00191739" w:rsidRDefault="00A2379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A23791">
            <w:pPr>
              <w:keepNext/>
              <w:keepLines/>
              <w:spacing w:after="0" w:line="240" w:lineRule="auto"/>
            </w:pPr>
            <w:r>
              <w:rPr>
                <w:sz w:val="18"/>
              </w:rPr>
              <w:t>3423</w:t>
            </w:r>
          </w:p>
        </w:tc>
        <w:tc>
          <w:tcPr>
            <w:tcW w:w="3180" w:type="dxa"/>
            <w:tcMar>
              <w:top w:w="0" w:type="dxa"/>
              <w:bottom w:w="0" w:type="dxa"/>
            </w:tcMar>
            <w:vAlign w:val="center"/>
          </w:tcPr>
          <w:p w:rsidR="00191739" w:rsidRDefault="00A23791">
            <w:pPr>
              <w:keepNext/>
              <w:keepLines/>
              <w:spacing w:after="0" w:line="240" w:lineRule="auto"/>
            </w:pPr>
            <w:r>
              <w:rPr>
                <w:sz w:val="18"/>
              </w:rPr>
              <w:t xml:space="preserve">Kamate za primljene kredite i zajmove od kreditnih i ostalih financijskih institucija </w:t>
            </w:r>
            <w:r>
              <w:rPr>
                <w:sz w:val="18"/>
              </w:rPr>
              <w:t>izvan javnog sektora</w:t>
            </w:r>
          </w:p>
        </w:tc>
        <w:tc>
          <w:tcPr>
            <w:tcW w:w="700" w:type="dxa"/>
            <w:tcMar>
              <w:top w:w="0" w:type="dxa"/>
              <w:bottom w:w="0" w:type="dxa"/>
            </w:tcMar>
            <w:vAlign w:val="center"/>
          </w:tcPr>
          <w:p w:rsidR="00191739" w:rsidRDefault="00A23791">
            <w:pPr>
              <w:keepNext/>
              <w:keepLines/>
              <w:spacing w:after="0" w:line="240" w:lineRule="auto"/>
            </w:pPr>
            <w:r>
              <w:rPr>
                <w:sz w:val="18"/>
              </w:rPr>
              <w:t>3423</w:t>
            </w:r>
          </w:p>
        </w:tc>
        <w:tc>
          <w:tcPr>
            <w:tcW w:w="1860" w:type="dxa"/>
            <w:tcMar>
              <w:top w:w="0" w:type="dxa"/>
              <w:bottom w:w="0" w:type="dxa"/>
            </w:tcMar>
            <w:vAlign w:val="center"/>
          </w:tcPr>
          <w:p w:rsidR="00191739" w:rsidRDefault="00A23791">
            <w:pPr>
              <w:keepNext/>
              <w:keepLines/>
              <w:spacing w:after="0" w:line="240" w:lineRule="auto"/>
              <w:jc w:val="right"/>
            </w:pPr>
            <w:r>
              <w:rPr>
                <w:sz w:val="18"/>
              </w:rPr>
              <w:t>180,23</w:t>
            </w:r>
          </w:p>
        </w:tc>
        <w:tc>
          <w:tcPr>
            <w:tcW w:w="1860" w:type="dxa"/>
            <w:tcMar>
              <w:top w:w="0" w:type="dxa"/>
              <w:bottom w:w="0" w:type="dxa"/>
            </w:tcMar>
            <w:vAlign w:val="center"/>
          </w:tcPr>
          <w:p w:rsidR="00191739" w:rsidRDefault="00A23791">
            <w:pPr>
              <w:keepNext/>
              <w:keepLines/>
              <w:spacing w:after="0" w:line="240" w:lineRule="auto"/>
              <w:jc w:val="right"/>
            </w:pPr>
            <w:r>
              <w:rPr>
                <w:sz w:val="18"/>
              </w:rPr>
              <w:t>1.532,65</w:t>
            </w:r>
          </w:p>
        </w:tc>
        <w:tc>
          <w:tcPr>
            <w:tcW w:w="700" w:type="dxa"/>
            <w:tcMar>
              <w:top w:w="0" w:type="dxa"/>
              <w:bottom w:w="0" w:type="dxa"/>
            </w:tcMar>
            <w:vAlign w:val="center"/>
          </w:tcPr>
          <w:p w:rsidR="00191739" w:rsidRDefault="00A23791">
            <w:pPr>
              <w:keepNext/>
              <w:keepLines/>
              <w:spacing w:after="0" w:line="240" w:lineRule="auto"/>
              <w:jc w:val="right"/>
            </w:pPr>
            <w:r>
              <w:rPr>
                <w:sz w:val="18"/>
              </w:rPr>
              <w:t>850,4</w:t>
            </w:r>
          </w:p>
        </w:tc>
      </w:tr>
    </w:tbl>
    <w:p w:rsidR="00191739" w:rsidRDefault="00191739">
      <w:pPr>
        <w:spacing w:after="0"/>
      </w:pPr>
    </w:p>
    <w:p w:rsidR="00191739" w:rsidRDefault="00A23791">
      <w:r>
        <w:t>Rashod za kamate za primljene kredite i zajmove od kreditnih i ostalih financijskih institucija izvan javnog sektora odnosi se na dugoročni kredit iz 2018.g. u prethodnom razdoblju knjižen na drugi konto</w:t>
      </w:r>
    </w:p>
    <w:p w:rsidR="00191739" w:rsidRDefault="00191739"/>
    <w:p w:rsidR="00191739" w:rsidRDefault="00A23791">
      <w:pPr>
        <w:keepNext/>
        <w:spacing w:line="240" w:lineRule="auto"/>
        <w:jc w:val="center"/>
      </w:pPr>
      <w:r>
        <w:rPr>
          <w:b/>
          <w:sz w:val="28"/>
        </w:rPr>
        <w:t>Izvještaj o obvezama</w:t>
      </w:r>
    </w:p>
    <w:p w:rsidR="00191739" w:rsidRDefault="00A2379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91739">
        <w:tblPrEx>
          <w:tblCellMar>
            <w:top w:w="0" w:type="dxa"/>
            <w:bottom w:w="0" w:type="dxa"/>
          </w:tblCellMar>
        </w:tblPrEx>
        <w:trPr>
          <w:cantSplit/>
        </w:trPr>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91739" w:rsidRDefault="00A23791">
            <w:pPr>
              <w:keepNext/>
              <w:keepLines/>
              <w:spacing w:after="0" w:line="240" w:lineRule="auto"/>
              <w:jc w:val="center"/>
            </w:pPr>
            <w:r>
              <w:rPr>
                <w:b/>
                <w:sz w:val="18"/>
              </w:rPr>
              <w:t>Indeks (%)</w:t>
            </w:r>
          </w:p>
        </w:tc>
      </w:tr>
      <w:tr w:rsidR="00191739">
        <w:tblPrEx>
          <w:tblCellMar>
            <w:top w:w="0" w:type="dxa"/>
            <w:bottom w:w="0" w:type="dxa"/>
          </w:tblCellMar>
        </w:tblPrEx>
        <w:trPr>
          <w:cantSplit/>
          <w:trHeight w:val="560"/>
        </w:trPr>
        <w:tc>
          <w:tcPr>
            <w:tcW w:w="700" w:type="dxa"/>
            <w:tcMar>
              <w:top w:w="0" w:type="dxa"/>
              <w:bottom w:w="0" w:type="dxa"/>
            </w:tcMar>
            <w:vAlign w:val="center"/>
          </w:tcPr>
          <w:p w:rsidR="00191739" w:rsidRDefault="00191739">
            <w:pPr>
              <w:keepNext/>
              <w:keepLines/>
              <w:spacing w:after="0" w:line="240" w:lineRule="auto"/>
            </w:pPr>
          </w:p>
        </w:tc>
        <w:tc>
          <w:tcPr>
            <w:tcW w:w="3180" w:type="dxa"/>
            <w:tcMar>
              <w:top w:w="0" w:type="dxa"/>
              <w:bottom w:w="0" w:type="dxa"/>
            </w:tcMar>
            <w:vAlign w:val="center"/>
          </w:tcPr>
          <w:p w:rsidR="00191739" w:rsidRDefault="00A2379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191739" w:rsidRDefault="00A23791">
            <w:pPr>
              <w:keepNext/>
              <w:keepLines/>
              <w:spacing w:after="0" w:line="240" w:lineRule="auto"/>
            </w:pPr>
            <w:r>
              <w:rPr>
                <w:sz w:val="18"/>
              </w:rPr>
              <w:t>V007</w:t>
            </w:r>
          </w:p>
        </w:tc>
        <w:tc>
          <w:tcPr>
            <w:tcW w:w="1860" w:type="dxa"/>
            <w:tcMar>
              <w:top w:w="0" w:type="dxa"/>
              <w:bottom w:w="0" w:type="dxa"/>
            </w:tcMar>
            <w:vAlign w:val="center"/>
          </w:tcPr>
          <w:p w:rsidR="00191739" w:rsidRDefault="00A23791">
            <w:pPr>
              <w:keepNext/>
              <w:keepLines/>
              <w:spacing w:after="0" w:line="240" w:lineRule="auto"/>
              <w:jc w:val="right"/>
            </w:pPr>
            <w:r>
              <w:rPr>
                <w:sz w:val="18"/>
              </w:rPr>
              <w:t>0,00</w:t>
            </w:r>
          </w:p>
        </w:tc>
        <w:tc>
          <w:tcPr>
            <w:tcW w:w="700" w:type="dxa"/>
            <w:tcMar>
              <w:top w:w="0" w:type="dxa"/>
              <w:bottom w:w="0" w:type="dxa"/>
            </w:tcMar>
            <w:vAlign w:val="center"/>
          </w:tcPr>
          <w:p w:rsidR="00191739" w:rsidRDefault="00A23791">
            <w:pPr>
              <w:keepNext/>
              <w:keepLines/>
              <w:spacing w:after="0" w:line="240" w:lineRule="auto"/>
              <w:jc w:val="right"/>
            </w:pPr>
            <w:r>
              <w:rPr>
                <w:sz w:val="18"/>
              </w:rPr>
              <w:t>-</w:t>
            </w:r>
          </w:p>
        </w:tc>
      </w:tr>
    </w:tbl>
    <w:p w:rsidR="00191739" w:rsidRDefault="00191739">
      <w:pPr>
        <w:spacing w:after="0"/>
      </w:pPr>
    </w:p>
    <w:p w:rsidR="00191739" w:rsidRDefault="00A23791">
      <w:r>
        <w:t>Nije bilo dospjelih obveza na kraju izvještajnog razdoblja.</w:t>
      </w:r>
    </w:p>
    <w:p w:rsidR="00191739" w:rsidRDefault="00191739"/>
    <w:p w:rsidR="00191739" w:rsidRDefault="00A23791">
      <w:pPr>
        <w:keepNext/>
        <w:spacing w:line="240" w:lineRule="auto"/>
        <w:jc w:val="center"/>
      </w:pPr>
      <w:r>
        <w:rPr>
          <w:sz w:val="28"/>
        </w:rPr>
        <w:t>Bilješka 15.</w:t>
      </w:r>
    </w:p>
    <w:p w:rsidR="00191739" w:rsidRDefault="00A23791">
      <w:pPr>
        <w:spacing w:line="240" w:lineRule="auto"/>
        <w:jc w:val="both"/>
      </w:pPr>
      <w:r>
        <w:rPr>
          <w:b/>
        </w:rPr>
        <w:t>EU izvještaj</w:t>
      </w:r>
    </w:p>
    <w:p w:rsidR="00191739" w:rsidRDefault="00A23791">
      <w:r>
        <w:t>U okviru projekta "I ti možeš", koji je Varaždinska županija provodila u sklopu Operativnog programa "Učinkoviti ljudski potencijali 2021.-2027.", školi su osigurana sre</w:t>
      </w:r>
      <w:r>
        <w:t xml:space="preserve">dstva za financiranje tri pomoćnika u nastavi za tri učenika s teškoćama u razvoju u školskoj godini 2024./2025. Sredstva se doznačuju putem Varaždinske županije kao nositelja projekta, a </w:t>
      </w:r>
      <w:r>
        <w:lastRenderedPageBreak/>
        <w:t xml:space="preserve">projekt je sufinanciran iz Europskog socijalnog fonda plus. Prihodi </w:t>
      </w:r>
      <w:r>
        <w:t>i rashodi u ovom izvještaju odnose se na plaće i pripadajuće doprinose te naknade za pomoćnike u nastavi.</w:t>
      </w:r>
    </w:p>
    <w:p w:rsidR="00191739" w:rsidRDefault="00A23791">
      <w:r>
        <w:t>Projekt Srednje škole Ludbreg “Virtualno iskustvo u stvarnom svijetu”, projekt broj 2024-1-HR01-KA122-VET000235317, uključuje kratkoročnu mobilnost uč</w:t>
      </w:r>
      <w:r>
        <w:t>enika te mobilnosti nastavnika – praćenje rada, tečajevi i osposobljavanje. Pohvaljuje se uključivanje učenika s manje mogućnosti i sadržajno integriranje digitalnih vještina i alata u provedbi mobilnosti. Potiče se kontinuirano adresiranje svih prioriteta</w:t>
      </w:r>
      <w:r>
        <w:t> </w:t>
      </w:r>
      <w:proofErr w:type="spellStart"/>
      <w:r>
        <w:t>Erasmus</w:t>
      </w:r>
      <w:proofErr w:type="spellEnd"/>
      <w:r>
        <w:t>+ programa u provedbi budućih projekata. Projekt je logistički uspješno proveden, zadaće su unutar projektnog tima jasno raspodijeljene, a učenicima je osigurana kontinuirana potpora nastavnika u pratnji i mentora za vrijeme trajanja mobilnosti. Su</w:t>
      </w:r>
      <w:r>
        <w:t>dionici izražavaju zadovoljstvo logističkim i sadržajnim aspektom mobilnosti. Projekt je na završnom izvješću ocijenjen s ukupno 84/100 bodova. Agencija za mobilnost i programe EU (dalje u tekstu: Agencija) doznačila je Korisniku </w:t>
      </w:r>
      <w:proofErr w:type="spellStart"/>
      <w:r>
        <w:t>pretfinanciranje</w:t>
      </w:r>
      <w:proofErr w:type="spellEnd"/>
      <w:r>
        <w:t xml:space="preserve"> u iznosu </w:t>
      </w:r>
      <w:r>
        <w:t xml:space="preserve">od 54.684,00 EUR. Najviši ukupan iznos ugovorenih sredstava za predmetni projekt jest 68.355,00 EUR. Na temelju rezultata evaluacije završnog izvješća predmetnog projekta, utvrđuje se da je konačan iznos bespovratnih sredstava na koji je Korisnik ostvario </w:t>
      </w:r>
      <w:r>
        <w:t>pravo 66.183,00 EUR. U skladu s time, Agencija je isplatila Korisniku preostali iznos bespovratnih sredstava koji iznosi 11.499,00 EUR.</w:t>
      </w:r>
    </w:p>
    <w:p w:rsidR="00191739" w:rsidRDefault="00191739"/>
    <w:sectPr w:rsidR="001917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91739"/>
    <w:rsid w:val="00191739"/>
    <w:rsid w:val="00A237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C95E"/>
  <w15:docId w15:val="{6C925CBD-3486-4354-9D53-B845D1F5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2</cp:revision>
  <dcterms:created xsi:type="dcterms:W3CDTF">2026-02-02T07:00:00Z</dcterms:created>
  <dcterms:modified xsi:type="dcterms:W3CDTF">2026-02-02T07:01:00Z</dcterms:modified>
</cp:coreProperties>
</file>